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EB3ED">
      <w:pPr>
        <w:spacing w:line="0" w:lineRule="atLeast"/>
        <w:ind w:firstLine="442" w:firstLineChars="100"/>
        <w:jc w:val="center"/>
        <w:rPr>
          <w:rFonts w:ascii="Times New Roman" w:hAnsi="Times New Roman" w:cs="Times New Roman"/>
          <w:b/>
          <w:bCs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三明市（永安市、沙县）生活垃圾焚烧发       电厂一期项目SNCR设备</w:t>
      </w:r>
    </w:p>
    <w:p w14:paraId="7A2760B7">
      <w:pPr>
        <w:spacing w:line="0" w:lineRule="atLeast"/>
        <w:rPr>
          <w:rFonts w:ascii="Times New Roman" w:hAnsi="Times New Roman" w:eastAsia="Microsoft JhengHei" w:cs="Times New Roman"/>
          <w:szCs w:val="24"/>
        </w:rPr>
      </w:pPr>
    </w:p>
    <w:p w14:paraId="69152BBF">
      <w:pPr>
        <w:spacing w:line="0" w:lineRule="atLeast"/>
        <w:ind w:firstLine="803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  <w:r>
        <w:rPr>
          <w:rFonts w:hint="eastAsia" w:ascii="Times New Roman" w:hAnsi="Times New Roman" w:cs="Times New Roman"/>
          <w:b/>
          <w:sz w:val="40"/>
          <w:szCs w:val="40"/>
          <w:lang w:eastAsia="zh-CN"/>
        </w:rPr>
        <w:t>尿素采购技术规范书</w:t>
      </w:r>
    </w:p>
    <w:p w14:paraId="1F130504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74CBDE83">
      <w:pPr>
        <w:spacing w:line="0" w:lineRule="atLeast"/>
        <w:ind w:firstLine="800"/>
        <w:jc w:val="center"/>
        <w:rPr>
          <w:rFonts w:ascii="Times New Roman" w:hAnsi="Times New Roman" w:eastAsia="Microsoft JhengHei" w:cs="Times New Roman"/>
          <w:sz w:val="40"/>
          <w:szCs w:val="40"/>
          <w:lang w:eastAsia="zh-CN"/>
        </w:rPr>
      </w:pPr>
    </w:p>
    <w:p w14:paraId="561AEDFF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7FE923CB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3E52AE54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191D83A7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2265AD5A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519B4CAB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7384A253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784D7E27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345B97BC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36EABE65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27F052D1">
      <w:pPr>
        <w:spacing w:line="0" w:lineRule="atLeast"/>
        <w:ind w:firstLine="1124"/>
        <w:jc w:val="center"/>
        <w:rPr>
          <w:rFonts w:ascii="Times New Roman" w:hAnsi="Times New Roman" w:cs="Times New Roman"/>
          <w:b/>
          <w:sz w:val="56"/>
          <w:szCs w:val="56"/>
          <w:lang w:eastAsia="zh-CN"/>
        </w:rPr>
      </w:pPr>
    </w:p>
    <w:p w14:paraId="10161FF7">
      <w:pPr>
        <w:spacing w:line="0" w:lineRule="atLeast"/>
        <w:ind w:firstLine="803"/>
        <w:rPr>
          <w:rFonts w:ascii="Times New Roman" w:hAnsi="Times New Roman" w:cs="Times New Roman"/>
          <w:sz w:val="40"/>
          <w:szCs w:val="40"/>
          <w:lang w:eastAsia="zh-CN"/>
        </w:rPr>
      </w:pPr>
      <w:r>
        <w:rPr>
          <w:rFonts w:hint="eastAsia" w:ascii="Times New Roman" w:hAnsi="Times New Roman" w:cs="Times New Roman"/>
          <w:b/>
          <w:sz w:val="40"/>
          <w:szCs w:val="40"/>
          <w:lang w:eastAsia="zh-CN"/>
        </w:rPr>
        <w:t>三明市金利亚环保科技投资</w:t>
      </w:r>
      <w:r>
        <w:rPr>
          <w:rFonts w:ascii="Times New Roman" w:hAnsi="Times New Roman" w:cs="Times New Roman"/>
          <w:b/>
          <w:sz w:val="40"/>
          <w:szCs w:val="40"/>
          <w:lang w:eastAsia="zh-CN"/>
        </w:rPr>
        <w:t>有限公司</w:t>
      </w:r>
    </w:p>
    <w:p w14:paraId="21484F3F">
      <w:pPr>
        <w:spacing w:line="0" w:lineRule="atLeast"/>
        <w:ind w:firstLine="803"/>
        <w:rPr>
          <w:rFonts w:ascii="Times New Roman" w:hAnsi="Times New Roman" w:cs="Times New Roman"/>
          <w:b/>
          <w:sz w:val="40"/>
          <w:szCs w:val="40"/>
          <w:lang w:eastAsia="zh-CN"/>
        </w:rPr>
      </w:pPr>
    </w:p>
    <w:p w14:paraId="2A69EA8F">
      <w:pPr>
        <w:spacing w:line="0" w:lineRule="atLeast"/>
        <w:ind w:firstLine="2811" w:firstLineChars="700"/>
        <w:jc w:val="both"/>
        <w:rPr>
          <w:rFonts w:ascii="Times New Roman" w:hAnsi="Times New Roman" w:cs="Times New Roman" w:eastAsiaTheme="majorEastAsia"/>
          <w:b/>
          <w:sz w:val="40"/>
          <w:szCs w:val="40"/>
          <w:lang w:eastAsia="zh-CN"/>
        </w:rPr>
      </w:pPr>
      <w:r>
        <w:rPr>
          <w:rFonts w:ascii="Times New Roman" w:hAnsi="Times New Roman" w:cs="Times New Roman" w:eastAsiaTheme="majorEastAsia"/>
          <w:b/>
          <w:sz w:val="40"/>
          <w:szCs w:val="40"/>
          <w:lang w:eastAsia="zh-CN"/>
        </w:rPr>
        <w:t>20</w:t>
      </w:r>
      <w:r>
        <w:rPr>
          <w:rFonts w:hint="eastAsia" w:ascii="Times New Roman" w:hAnsi="Times New Roman" w:cs="Times New Roman" w:eastAsiaTheme="majorEastAsia"/>
          <w:b/>
          <w:sz w:val="40"/>
          <w:szCs w:val="40"/>
          <w:lang w:eastAsia="zh-CN"/>
        </w:rPr>
        <w:t>25</w:t>
      </w:r>
      <w:r>
        <w:rPr>
          <w:rFonts w:ascii="Times New Roman" w:hAnsi="Times New Roman" w:cs="Times New Roman" w:eastAsiaTheme="majorEastAsia"/>
          <w:b/>
          <w:sz w:val="40"/>
          <w:szCs w:val="40"/>
          <w:lang w:eastAsia="zh-CN"/>
        </w:rPr>
        <w:t>年</w:t>
      </w:r>
      <w:r>
        <w:rPr>
          <w:rFonts w:hint="eastAsia" w:ascii="Times New Roman" w:hAnsi="Times New Roman" w:cs="Times New Roman" w:eastAsiaTheme="majorEastAsia"/>
          <w:b/>
          <w:sz w:val="40"/>
          <w:szCs w:val="40"/>
          <w:lang w:eastAsia="zh-CN"/>
        </w:rPr>
        <w:t>01</w:t>
      </w:r>
      <w:r>
        <w:rPr>
          <w:rFonts w:ascii="Times New Roman" w:hAnsi="Times New Roman" w:cs="Times New Roman" w:eastAsiaTheme="majorEastAsia"/>
          <w:b/>
          <w:sz w:val="40"/>
          <w:szCs w:val="40"/>
          <w:lang w:eastAsia="zh-CN"/>
        </w:rPr>
        <w:t>月</w:t>
      </w:r>
    </w:p>
    <w:p w14:paraId="6747360E">
      <w:pPr>
        <w:spacing w:line="0" w:lineRule="atLeast"/>
        <w:jc w:val="center"/>
        <w:rPr>
          <w:rFonts w:ascii="Times New Roman" w:hAnsi="Times New Roman" w:eastAsia="Microsoft JhengHei" w:cs="Times New Roman"/>
          <w:szCs w:val="24"/>
          <w:lang w:eastAsia="zh-CN"/>
        </w:rPr>
      </w:pPr>
    </w:p>
    <w:p w14:paraId="77FB879E">
      <w:pPr>
        <w:pStyle w:val="2"/>
        <w:ind w:firstLine="420"/>
        <w:rPr>
          <w:lang w:eastAsia="zh-CN"/>
        </w:rPr>
      </w:pPr>
    </w:p>
    <w:p w14:paraId="158F1EBC">
      <w:pPr>
        <w:pStyle w:val="2"/>
        <w:ind w:firstLine="420"/>
        <w:rPr>
          <w:lang w:eastAsia="zh-CN"/>
        </w:rPr>
      </w:pPr>
    </w:p>
    <w:p w14:paraId="6D8F881D">
      <w:pPr>
        <w:pStyle w:val="2"/>
        <w:ind w:firstLine="420"/>
        <w:rPr>
          <w:lang w:eastAsia="zh-CN"/>
        </w:rPr>
      </w:pPr>
    </w:p>
    <w:p w14:paraId="598B66FA">
      <w:pPr>
        <w:spacing w:line="0" w:lineRule="atLeast"/>
        <w:jc w:val="center"/>
        <w:rPr>
          <w:rFonts w:ascii="Times New Roman" w:hAnsi="Times New Roman" w:eastAsia="Microsoft JhengHei" w:cs="Times New Roman"/>
          <w:szCs w:val="24"/>
          <w:lang w:eastAsia="zh-CN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797" w:bottom="1440" w:left="1797" w:header="851" w:footer="992" w:gutter="0"/>
          <w:cols w:space="425" w:num="1"/>
          <w:docGrid w:type="lines" w:linePitch="360" w:charSpace="0"/>
        </w:sectPr>
      </w:pPr>
    </w:p>
    <w:p w14:paraId="0598DB6D">
      <w:pPr>
        <w:spacing w:line="0" w:lineRule="atLeast"/>
        <w:jc w:val="center"/>
        <w:rPr>
          <w:rFonts w:ascii="Times New Roman" w:hAnsi="Times New Roman" w:eastAsia="Microsoft JhengHei" w:cs="Times New Roman"/>
          <w:szCs w:val="24"/>
          <w:lang w:eastAsia="zh-CN"/>
        </w:rPr>
      </w:pPr>
      <w:r>
        <w:rPr>
          <w:rFonts w:hint="eastAsia" w:ascii="Times New Roman" w:hAnsi="Times New Roman" w:eastAsia="Microsoft JhengHei" w:cs="Times New Roman"/>
          <w:szCs w:val="24"/>
          <w:lang w:eastAsia="zh-CN"/>
        </w:rPr>
        <w:t xml:space="preserve"> </w:t>
      </w:r>
    </w:p>
    <w:p w14:paraId="04FCEB70">
      <w:pPr>
        <w:spacing w:line="0" w:lineRule="atLeast"/>
        <w:ind w:firstLine="803"/>
        <w:jc w:val="center"/>
        <w:rPr>
          <w:rFonts w:ascii="Times New Roman" w:hAnsi="Times New Roman" w:eastAsia="Microsoft JhengHei" w:cs="Times New Roman"/>
          <w:szCs w:val="24"/>
          <w:lang w:eastAsia="zh-CN"/>
        </w:rPr>
      </w:pPr>
      <w:r>
        <w:rPr>
          <w:rFonts w:hint="eastAsia" w:ascii="Times New Roman" w:hAnsi="Times New Roman" w:cs="Times New Roman"/>
          <w:b/>
          <w:sz w:val="40"/>
          <w:szCs w:val="40"/>
          <w:lang w:eastAsia="zh-CN"/>
        </w:rPr>
        <w:t>技术规范书</w:t>
      </w:r>
    </w:p>
    <w:p w14:paraId="6915D846">
      <w:pPr>
        <w:pStyle w:val="2"/>
        <w:ind w:firstLine="420"/>
        <w:rPr>
          <w:rFonts w:ascii="Times New Roman" w:hAnsi="Times New Roman" w:eastAsia="Microsoft JhengHei" w:cs="Times New Roman"/>
          <w:szCs w:val="24"/>
          <w:lang w:eastAsia="zh-CN"/>
        </w:rPr>
      </w:pPr>
    </w:p>
    <w:p w14:paraId="199A0119">
      <w:pPr>
        <w:pStyle w:val="3"/>
        <w:numPr>
          <w:ilvl w:val="0"/>
          <w:numId w:val="2"/>
        </w:numPr>
        <w:snapToGrid w:val="0"/>
        <w:spacing w:afterAutospacing="0" w:line="560" w:lineRule="atLeas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简介</w:t>
      </w:r>
    </w:p>
    <w:p w14:paraId="49596DCF">
      <w:pPr>
        <w:pStyle w:val="9"/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项目名称：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三明市（永安市、沙县）生活垃圾焚烧发电厂一期尿素生产材料采购</w:t>
      </w:r>
    </w:p>
    <w:p w14:paraId="35AEE771">
      <w:pPr>
        <w:pStyle w:val="9"/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建设单位：云南固废投资有限公司</w:t>
      </w:r>
    </w:p>
    <w:p w14:paraId="45EBB8DD">
      <w:pPr>
        <w:snapToGrid w:val="0"/>
        <w:spacing w:line="560" w:lineRule="atLeast"/>
        <w:ind w:firstLine="0" w:firstLineChars="0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项目公司：三明市金利亚环保科技投资投资有限公司（需方）</w:t>
      </w:r>
    </w:p>
    <w:p w14:paraId="006B46EE">
      <w:pPr>
        <w:snapToGrid w:val="0"/>
        <w:spacing w:line="560" w:lineRule="atLeast"/>
        <w:ind w:firstLine="0" w:firstLineChars="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厂    址：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三明市金利亚环保科技投资投资有限公司内。</w:t>
      </w:r>
    </w:p>
    <w:p w14:paraId="766EEB77">
      <w:pPr>
        <w:snapToGrid w:val="0"/>
        <w:spacing w:line="560" w:lineRule="atLeast"/>
        <w:ind w:firstLine="0" w:firstLineChars="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设计规模：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三明市金利亚生活垃圾焚烧发电项目一期工程规模为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日处理生活垃圾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00t/d，即1×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00t/d机械炉排焚烧锅炉，配1×12MW凝汽式汽轮发电机组。一期工程1条焚烧线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原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烟气净化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采用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“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SNCR脱硝+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半干法脱酸(Ca（OH）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)+干法脱酸(Ca（OH）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vertAlign w:val="subscript"/>
        </w:rPr>
        <w:t>2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）+活性炭吸附+袋式除尘器+”相结合的烟气净化工艺。</w:t>
      </w:r>
    </w:p>
    <w:p w14:paraId="750EB30D">
      <w:pPr>
        <w:pStyle w:val="9"/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本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技术标书是对烟气净化工艺中的烟气净化系统的尿素产品的采购、验货及其他作出基本要求。</w:t>
      </w:r>
    </w:p>
    <w:p w14:paraId="465B7BAE">
      <w:pPr>
        <w:pStyle w:val="9"/>
        <w:numPr>
          <w:ilvl w:val="0"/>
          <w:numId w:val="2"/>
        </w:numPr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供货需求</w:t>
      </w:r>
    </w:p>
    <w:p w14:paraId="7920AB5C">
      <w:pPr>
        <w:numPr>
          <w:ilvl w:val="0"/>
          <w:numId w:val="3"/>
        </w:numPr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每批次送货量结合甲方现场的运行、检修情况和现场存货情况而调整，在未单独说明单批次时为30吨。</w:t>
      </w:r>
    </w:p>
    <w:p w14:paraId="6A68A05B">
      <w:pPr>
        <w:numPr>
          <w:ilvl w:val="0"/>
          <w:numId w:val="3"/>
        </w:numPr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在如春节节假日等情况下，石灰厂家必须要保证供货到位。</w:t>
      </w:r>
    </w:p>
    <w:p w14:paraId="54E2A9EA">
      <w:pPr>
        <w:pStyle w:val="3"/>
        <w:numPr>
          <w:ilvl w:val="0"/>
          <w:numId w:val="2"/>
        </w:numPr>
        <w:snapToGrid w:val="0"/>
        <w:spacing w:afterAutospacing="0"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项目现场边界条件</w:t>
      </w:r>
    </w:p>
    <w:p w14:paraId="0FD12E19">
      <w:pPr>
        <w:pStyle w:val="10"/>
        <w:numPr>
          <w:ilvl w:val="0"/>
          <w:numId w:val="4"/>
        </w:numPr>
        <w:autoSpaceDE w:val="0"/>
        <w:autoSpaceDN w:val="0"/>
        <w:snapToGrid w:val="0"/>
        <w:spacing w:line="560" w:lineRule="atLeast"/>
        <w:rPr>
          <w:rFonts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现场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尿素库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容量：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  <w:lang w:eastAsia="zh-CN"/>
        </w:rPr>
        <w:t>50吨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；</w:t>
      </w:r>
    </w:p>
    <w:p w14:paraId="75D321E5">
      <w:pPr>
        <w:pStyle w:val="10"/>
        <w:numPr>
          <w:ilvl w:val="0"/>
          <w:numId w:val="4"/>
        </w:numPr>
        <w:autoSpaceDE w:val="0"/>
        <w:autoSpaceDN w:val="0"/>
        <w:snapToGrid w:val="0"/>
        <w:spacing w:line="560" w:lineRule="atLeast"/>
        <w:rPr>
          <w:rFonts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卸车形式及接口：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人工或叉车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  <w:lang w:eastAsia="zh-CN"/>
        </w:rPr>
        <w:t>；</w:t>
      </w:r>
    </w:p>
    <w:p w14:paraId="0AAD13CA">
      <w:pPr>
        <w:pStyle w:val="10"/>
        <w:numPr>
          <w:ilvl w:val="0"/>
          <w:numId w:val="4"/>
        </w:numPr>
        <w:autoSpaceDE w:val="0"/>
        <w:autoSpaceDN w:val="0"/>
        <w:snapToGrid w:val="0"/>
        <w:spacing w:line="560" w:lineRule="atLeast"/>
        <w:rPr>
          <w:rFonts w:asciiTheme="minorEastAsia" w:hAnsiTheme="minorEastAsia" w:eastAsiaTheme="minorEastAsia" w:cstheme="minorEastAsia"/>
          <w:kern w:val="0"/>
          <w:sz w:val="28"/>
          <w:szCs w:val="28"/>
        </w:rPr>
        <w:sectPr>
          <w:footerReference r:id="rId11" w:type="default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60" w:charSpace="0"/>
        </w:sectPr>
      </w:pPr>
    </w:p>
    <w:p w14:paraId="3BE8C514">
      <w:pPr>
        <w:pStyle w:val="10"/>
        <w:numPr>
          <w:ilvl w:val="0"/>
          <w:numId w:val="4"/>
        </w:numPr>
        <w:autoSpaceDE w:val="0"/>
        <w:autoSpaceDN w:val="0"/>
        <w:snapToGrid w:val="0"/>
        <w:spacing w:line="560" w:lineRule="atLeast"/>
        <w:rPr>
          <w:rFonts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地磅限重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50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吨；车辆限长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12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米，所以要求车辆总重控制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u w:val="single"/>
        </w:rPr>
        <w:t xml:space="preserve"> 50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吨以下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；</w:t>
      </w:r>
    </w:p>
    <w:p w14:paraId="03A05FDC">
      <w:pPr>
        <w:pStyle w:val="10"/>
        <w:numPr>
          <w:ilvl w:val="0"/>
          <w:numId w:val="4"/>
        </w:numPr>
        <w:autoSpaceDE w:val="0"/>
        <w:autoSpaceDN w:val="0"/>
        <w:snapToGrid w:val="0"/>
        <w:spacing w:line="560" w:lineRule="atLeast"/>
        <w:rPr>
          <w:rFonts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容器形式：袋装（50kg/袋）；</w:t>
      </w:r>
    </w:p>
    <w:p w14:paraId="5FA477E0">
      <w:pPr>
        <w:pStyle w:val="10"/>
        <w:numPr>
          <w:ilvl w:val="0"/>
          <w:numId w:val="4"/>
        </w:numPr>
        <w:autoSpaceDE w:val="0"/>
        <w:autoSpaceDN w:val="0"/>
        <w:snapToGrid w:val="0"/>
        <w:spacing w:line="560" w:lineRule="atLeast"/>
        <w:rPr>
          <w:rFonts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在节假日期间有可能会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临时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增加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  <w:lang w:eastAsia="zh-CN"/>
        </w:rPr>
        <w:t>货物送货量；</w:t>
      </w:r>
    </w:p>
    <w:p w14:paraId="6429D77A">
      <w:pPr>
        <w:pStyle w:val="10"/>
        <w:numPr>
          <w:ilvl w:val="0"/>
          <w:numId w:val="4"/>
        </w:numPr>
        <w:autoSpaceDE w:val="0"/>
        <w:autoSpaceDN w:val="0"/>
        <w:adjustRightInd w:val="0"/>
        <w:snapToGrid w:val="0"/>
        <w:spacing w:line="560" w:lineRule="atLeast"/>
        <w:rPr>
          <w:rFonts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送货地点:福建省三明市三元区莘口镇黄砂村渡头坪红滩。</w:t>
      </w:r>
    </w:p>
    <w:p w14:paraId="08CCFC46">
      <w:pPr>
        <w:pStyle w:val="3"/>
        <w:numPr>
          <w:ilvl w:val="0"/>
          <w:numId w:val="2"/>
        </w:numPr>
        <w:adjustRightInd w:val="0"/>
        <w:snapToGrid w:val="0"/>
        <w:spacing w:afterAutospacing="0"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质量及检测标准</w:t>
      </w:r>
    </w:p>
    <w:p w14:paraId="363A1902">
      <w:pPr>
        <w:pStyle w:val="10"/>
        <w:numPr>
          <w:ilvl w:val="0"/>
          <w:numId w:val="5"/>
        </w:numPr>
        <w:adjustRightInd w:val="0"/>
        <w:snapToGrid w:val="0"/>
        <w:spacing w:line="560" w:lineRule="atLeast"/>
        <w:rPr>
          <w:rFonts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尿素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质量标准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：按照国家、地方及行业标准。</w:t>
      </w:r>
    </w:p>
    <w:p w14:paraId="56639528">
      <w:pPr>
        <w:pStyle w:val="10"/>
        <w:numPr>
          <w:ilvl w:val="0"/>
          <w:numId w:val="5"/>
        </w:numPr>
        <w:adjustRightInd w:val="0"/>
        <w:snapToGrid w:val="0"/>
        <w:spacing w:line="560" w:lineRule="atLeast"/>
        <w:rPr>
          <w:rFonts w:asciiTheme="minorEastAsia" w:hAnsiTheme="minorEastAsia" w:eastAsiaTheme="minorEastAsia" w:cstheme="minorEastAsia"/>
          <w:bCs/>
          <w:sz w:val="28"/>
          <w:szCs w:val="28"/>
          <w:lang w:eastAsia="zh-CN"/>
        </w:rPr>
      </w:pPr>
      <w:bookmarkStart w:id="0" w:name="_Toc260046652"/>
      <w:bookmarkStart w:id="1" w:name="_Toc260046532"/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福建省生活垃圾焚烧厂运行维护、</w:t>
      </w:r>
      <w:bookmarkEnd w:id="0"/>
      <w:bookmarkEnd w:id="1"/>
      <w:bookmarkStart w:id="2" w:name="_Toc260046653"/>
      <w:bookmarkStart w:id="3" w:name="_Toc260046533"/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检测监管及考核评价标准</w:t>
      </w:r>
      <w:bookmarkEnd w:id="2"/>
      <w:bookmarkEnd w:id="3"/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DBJ/T13-93-201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5</w:t>
      </w:r>
    </w:p>
    <w:p w14:paraId="50041E2B">
      <w:pPr>
        <w:pStyle w:val="10"/>
        <w:numPr>
          <w:ilvl w:val="0"/>
          <w:numId w:val="5"/>
        </w:numPr>
        <w:snapToGrid w:val="0"/>
        <w:spacing w:line="560" w:lineRule="atLeast"/>
        <w:rPr>
          <w:rFonts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参照住房城乡建设部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《生活垃圾焚烧厂运行监管标准》 CJJ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/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T 212-2015</w:t>
      </w:r>
    </w:p>
    <w:p w14:paraId="0D9FBE36">
      <w:pPr>
        <w:pStyle w:val="9"/>
        <w:numPr>
          <w:ilvl w:val="0"/>
          <w:numId w:val="5"/>
        </w:numPr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 xml:space="preserve">检测方法采用标准： GB/T 2440-2017 </w:t>
      </w:r>
    </w:p>
    <w:p w14:paraId="1ECD4E37">
      <w:pPr>
        <w:pStyle w:val="9"/>
        <w:adjustRightInd/>
        <w:snapToGrid w:val="0"/>
        <w:spacing w:line="560" w:lineRule="atLeast"/>
        <w:ind w:left="210" w:hanging="210" w:hangingChars="75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技术指标</w:t>
      </w:r>
    </w:p>
    <w:p w14:paraId="4E34FB70">
      <w:pPr>
        <w:pStyle w:val="9"/>
        <w:adjustRightInd/>
        <w:snapToGrid w:val="0"/>
        <w:spacing w:line="560" w:lineRule="atLeast"/>
        <w:ind w:left="180" w:hanging="180" w:hangingChars="75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drawing>
          <wp:inline distT="0" distB="0" distL="0" distR="0">
            <wp:extent cx="6153150" cy="38474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8937" cy="3863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92957">
      <w:pPr>
        <w:pStyle w:val="3"/>
        <w:numPr>
          <w:ilvl w:val="0"/>
          <w:numId w:val="2"/>
        </w:numPr>
        <w:adjustRightInd w:val="0"/>
        <w:snapToGrid w:val="0"/>
        <w:spacing w:afterAutospacing="0"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验收、取样、检验</w:t>
      </w:r>
    </w:p>
    <w:p w14:paraId="757B0241">
      <w:pPr>
        <w:adjustRightInd w:val="0"/>
        <w:snapToGrid w:val="0"/>
        <w:spacing w:line="560" w:lineRule="atLeast"/>
        <w:ind w:firstLine="56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货物到达后，在需方的地磅房过磅，重量以过磅的结果为准。货物到达现场后，需方将按照本规范书中条款和订货合同中条款内容验收。同时取样分析测定，如发现质量不符和本规范书要求，卖方应无条件地更换货物，直至退货。</w:t>
      </w:r>
    </w:p>
    <w:p w14:paraId="76689A19">
      <w:pPr>
        <w:numPr>
          <w:ilvl w:val="0"/>
          <w:numId w:val="6"/>
        </w:numPr>
        <w:adjustRightInd w:val="0"/>
        <w:snapToGrid w:val="0"/>
        <w:spacing w:line="560" w:lineRule="atLeast"/>
        <w:jc w:val="both"/>
        <w:rPr>
          <w:rFonts w:asciiTheme="minorEastAsia" w:hAnsiTheme="minorEastAsia" w:eastAsiaTheme="minorEastAsia" w:cstheme="minorEastAsia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取样管理</w:t>
      </w:r>
    </w:p>
    <w:p w14:paraId="1DC88E92">
      <w:pPr>
        <w:numPr>
          <w:ilvl w:val="0"/>
          <w:numId w:val="7"/>
        </w:numPr>
        <w:adjustRightInd w:val="0"/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货物到达后，通知甲方运行经理和仓管，由运行经理指派专员与仓管、供方人员一起进行外观检查和取样。</w:t>
      </w:r>
    </w:p>
    <w:p w14:paraId="460BDCE1">
      <w:pPr>
        <w:numPr>
          <w:ilvl w:val="0"/>
          <w:numId w:val="7"/>
        </w:numPr>
        <w:adjustRightInd w:val="0"/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每批次在货车对角线上、中、下3个部位取样，每个部位随机抽取2袋取样，每袋取样约250g，样品送检至第三方具有“CMA”资质的检测机构进行检验并出具检验报告。另1份封存留样。</w:t>
      </w:r>
    </w:p>
    <w:p w14:paraId="08322266">
      <w:pPr>
        <w:numPr>
          <w:ilvl w:val="0"/>
          <w:numId w:val="6"/>
        </w:numPr>
        <w:snapToGrid w:val="0"/>
        <w:spacing w:line="560" w:lineRule="atLeast"/>
        <w:jc w:val="both"/>
        <w:rPr>
          <w:rFonts w:asciiTheme="minorEastAsia" w:hAnsiTheme="minorEastAsia" w:eastAsiaTheme="minorEastAsia" w:cstheme="minorEastAsia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送检管理</w:t>
      </w:r>
    </w:p>
    <w:p w14:paraId="17B218B6">
      <w:pPr>
        <w:numPr>
          <w:ilvl w:val="0"/>
          <w:numId w:val="8"/>
        </w:numPr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外包装需用密封夹链带包装（即带密封功能的PE袋）。</w:t>
      </w:r>
    </w:p>
    <w:p w14:paraId="7DDDF236">
      <w:pPr>
        <w:numPr>
          <w:ilvl w:val="0"/>
          <w:numId w:val="8"/>
        </w:numPr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夹链袋上写明物料名称、送检编号，不得注明供应商信息。</w:t>
      </w:r>
    </w:p>
    <w:p w14:paraId="4BBF8717">
      <w:pPr>
        <w:numPr>
          <w:ilvl w:val="0"/>
          <w:numId w:val="8"/>
        </w:numPr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供方需以需方认定的第三方检测机构检测结果为准。</w:t>
      </w:r>
    </w:p>
    <w:p w14:paraId="019CC8E9">
      <w:pPr>
        <w:numPr>
          <w:ilvl w:val="0"/>
          <w:numId w:val="8"/>
        </w:numPr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需方建立消石灰送检台帐，并不定期抽检。</w:t>
      </w:r>
    </w:p>
    <w:p w14:paraId="18517119">
      <w:pPr>
        <w:numPr>
          <w:ilvl w:val="0"/>
          <w:numId w:val="6"/>
        </w:numPr>
        <w:snapToGrid w:val="0"/>
        <w:spacing w:line="560" w:lineRule="atLeast"/>
        <w:jc w:val="both"/>
        <w:rPr>
          <w:rFonts w:asciiTheme="minorEastAsia" w:hAnsiTheme="minorEastAsia" w:eastAsiaTheme="minorEastAsia" w:cstheme="minorEastAsia"/>
          <w:color w:val="000000"/>
          <w:kern w:val="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8"/>
          <w:szCs w:val="28"/>
          <w:lang w:eastAsia="zh-CN"/>
        </w:rPr>
        <w:t>验收管理</w:t>
      </w:r>
    </w:p>
    <w:p w14:paraId="218326F0">
      <w:pPr>
        <w:numPr>
          <w:ilvl w:val="0"/>
          <w:numId w:val="9"/>
        </w:numPr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货物出厂检测结果应全部满足本技术规范中的质量要求；</w:t>
      </w:r>
    </w:p>
    <w:p w14:paraId="00AF8B25">
      <w:pPr>
        <w:numPr>
          <w:ilvl w:val="0"/>
          <w:numId w:val="9"/>
        </w:numPr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外观检查符合本技术规范中的标志和包装要求；</w:t>
      </w:r>
    </w:p>
    <w:p w14:paraId="0CAF800E">
      <w:pPr>
        <w:numPr>
          <w:ilvl w:val="0"/>
          <w:numId w:val="9"/>
        </w:numPr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不定期送外检检测结果应全部满足表一要求；</w:t>
      </w:r>
    </w:p>
    <w:p w14:paraId="1BA33938">
      <w:pPr>
        <w:numPr>
          <w:ilvl w:val="0"/>
          <w:numId w:val="9"/>
        </w:numPr>
        <w:adjustRightInd w:val="0"/>
        <w:snapToGrid w:val="0"/>
        <w:spacing w:line="560" w:lineRule="atLeast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技术资料齐全。</w:t>
      </w:r>
    </w:p>
    <w:p w14:paraId="1E59EF90">
      <w:pPr>
        <w:pStyle w:val="3"/>
        <w:numPr>
          <w:ilvl w:val="0"/>
          <w:numId w:val="2"/>
        </w:numPr>
        <w:adjustRightInd w:val="0"/>
        <w:snapToGrid w:val="0"/>
        <w:spacing w:afterAutospacing="0"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标志、包装、运输、贮存</w:t>
      </w:r>
    </w:p>
    <w:p w14:paraId="107FC8F8">
      <w:pPr>
        <w:pStyle w:val="9"/>
        <w:numPr>
          <w:ilvl w:val="0"/>
          <w:numId w:val="10"/>
        </w:numPr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标志</w:t>
      </w:r>
    </w:p>
    <w:p w14:paraId="41B731D4">
      <w:pPr>
        <w:pStyle w:val="9"/>
        <w:snapToGrid w:val="0"/>
        <w:spacing w:line="560" w:lineRule="atLeast"/>
        <w:ind w:left="210" w:hanging="210" w:hangingChars="75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包装上应有明显牢固的标志，其内容包括：生产厂名称、厂址、产品名称、商标、生产日期、日期、批号、净重和合格证书。</w:t>
      </w:r>
    </w:p>
    <w:p w14:paraId="0ABBF389">
      <w:pPr>
        <w:pStyle w:val="9"/>
        <w:numPr>
          <w:ilvl w:val="0"/>
          <w:numId w:val="10"/>
        </w:numPr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包装</w:t>
      </w:r>
    </w:p>
    <w:p w14:paraId="4DE7434A">
      <w:pPr>
        <w:pStyle w:val="9"/>
        <w:numPr>
          <w:ilvl w:val="0"/>
          <w:numId w:val="11"/>
        </w:numPr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产品使用防雨、防潮且不易破损的密封袋包装，封口牢固，防止产品外漏。</w:t>
      </w:r>
    </w:p>
    <w:p w14:paraId="162FF66A">
      <w:pPr>
        <w:pStyle w:val="9"/>
        <w:numPr>
          <w:ilvl w:val="0"/>
          <w:numId w:val="11"/>
        </w:numPr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产品包装规格为：每袋重量不大于50kg/包，包装净重量不应低于标称值的99%。</w:t>
      </w:r>
    </w:p>
    <w:p w14:paraId="715CC6BA">
      <w:pPr>
        <w:pStyle w:val="9"/>
        <w:numPr>
          <w:ilvl w:val="0"/>
          <w:numId w:val="11"/>
        </w:numPr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产品包装规格为：袋装，一车净重约20吨。</w:t>
      </w:r>
    </w:p>
    <w:p w14:paraId="302CB580">
      <w:pPr>
        <w:pStyle w:val="9"/>
        <w:numPr>
          <w:ilvl w:val="0"/>
          <w:numId w:val="10"/>
        </w:numPr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运输</w:t>
      </w:r>
    </w:p>
    <w:p w14:paraId="124DF2E2">
      <w:pPr>
        <w:pStyle w:val="9"/>
        <w:adjustRightInd/>
        <w:snapToGrid w:val="0"/>
        <w:spacing w:line="560" w:lineRule="atLeast"/>
        <w:ind w:left="211" w:firstLine="560" w:firstLineChars="200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运输车辆应符合道路交通运输安全法规定，散漏物料用大量清水冲洗。</w:t>
      </w:r>
    </w:p>
    <w:p w14:paraId="52CF21CD">
      <w:pPr>
        <w:pStyle w:val="9"/>
        <w:numPr>
          <w:ilvl w:val="0"/>
          <w:numId w:val="10"/>
        </w:numPr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贮存</w:t>
      </w:r>
    </w:p>
    <w:p w14:paraId="3DF1CC80">
      <w:pPr>
        <w:pStyle w:val="9"/>
        <w:adjustRightInd/>
        <w:snapToGrid w:val="0"/>
        <w:spacing w:line="560" w:lineRule="atLeast"/>
        <w:ind w:left="211" w:firstLine="560" w:firstLineChars="200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室内贮存条件，满足消防防火要求。</w:t>
      </w:r>
    </w:p>
    <w:p w14:paraId="467B8570">
      <w:pPr>
        <w:pStyle w:val="9"/>
        <w:numPr>
          <w:ilvl w:val="0"/>
          <w:numId w:val="10"/>
        </w:numPr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sz w:val="28"/>
          <w:szCs w:val="28"/>
          <w:lang w:eastAsia="zh-CN"/>
        </w:rPr>
        <w:t>保质期</w:t>
      </w:r>
    </w:p>
    <w:p w14:paraId="119E2F9B">
      <w:pPr>
        <w:pStyle w:val="9"/>
        <w:adjustRightInd/>
        <w:snapToGrid w:val="0"/>
        <w:spacing w:line="560" w:lineRule="atLeast"/>
        <w:ind w:left="211" w:firstLine="560" w:firstLineChars="200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在规定的贮运条件下，自出厂之日起，保质期为半年</w:t>
      </w:r>
    </w:p>
    <w:p w14:paraId="64C67C86">
      <w:pPr>
        <w:pStyle w:val="3"/>
        <w:numPr>
          <w:ilvl w:val="0"/>
          <w:numId w:val="2"/>
        </w:numPr>
        <w:adjustRightInd w:val="0"/>
        <w:snapToGrid w:val="0"/>
        <w:spacing w:afterAutospacing="0"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供应商资质要求及售后服务</w:t>
      </w:r>
    </w:p>
    <w:p w14:paraId="6DE10C2C">
      <w:pPr>
        <w:pStyle w:val="9"/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asciiTheme="minorEastAsia" w:hAnsiTheme="minorEastAsia" w:eastAsiaTheme="minorEastAsia" w:cstheme="minorEastAsia"/>
          <w:sz w:val="28"/>
          <w:szCs w:val="28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.1具有合法有效的营业执照，且为产品生产厂家或经销商。</w:t>
      </w:r>
    </w:p>
    <w:p w14:paraId="00DBBB56">
      <w:pPr>
        <w:pStyle w:val="9"/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asciiTheme="minorEastAsia" w:hAnsiTheme="minorEastAsia" w:eastAsiaTheme="minorEastAsia" w:cstheme="minorEastAsia"/>
          <w:sz w:val="28"/>
          <w:szCs w:val="28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.2近三年在经营活动从无重大违法记录。</w:t>
      </w:r>
    </w:p>
    <w:p w14:paraId="13195CC3">
      <w:pPr>
        <w:pStyle w:val="9"/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asciiTheme="minorEastAsia" w:hAnsiTheme="minorEastAsia" w:eastAsiaTheme="minorEastAsia" w:cstheme="minorEastAsia"/>
          <w:sz w:val="28"/>
          <w:szCs w:val="28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.3在国家企业信用信息公示系统中未被列入严重违法企业名单或在“信用中国网站”未被列入失信被执行人名单。</w:t>
      </w:r>
    </w:p>
    <w:p w14:paraId="2ECCBC4B">
      <w:pPr>
        <w:pStyle w:val="9"/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asciiTheme="minorEastAsia" w:hAnsiTheme="minorEastAsia" w:eastAsiaTheme="minorEastAsia" w:cstheme="minorEastAsia"/>
          <w:sz w:val="28"/>
          <w:szCs w:val="28"/>
          <w:lang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.4有垃圾电厂相应耗材供货业绩。</w:t>
      </w:r>
    </w:p>
    <w:p w14:paraId="36C1E02D">
      <w:pPr>
        <w:pStyle w:val="9"/>
        <w:adjustRightInd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7</w:t>
      </w:r>
      <w:r>
        <w:rPr>
          <w:rFonts w:asciiTheme="minorEastAsia" w:hAnsiTheme="minorEastAsia" w:eastAsiaTheme="minorEastAsia" w:cstheme="minorEastAsia"/>
          <w:sz w:val="28"/>
          <w:szCs w:val="28"/>
          <w:lang w:eastAsia="zh-CN"/>
        </w:rPr>
        <w:t>.5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货物应实行三包，产品符合4款2条标准。</w:t>
      </w:r>
    </w:p>
    <w:p w14:paraId="151AE4E6">
      <w:pPr>
        <w:pStyle w:val="9"/>
        <w:snapToGrid w:val="0"/>
        <w:spacing w:line="560" w:lineRule="atLeast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</w:p>
    <w:p w14:paraId="57B66D11">
      <w:pPr>
        <w:pStyle w:val="9"/>
        <w:snapToGrid w:val="0"/>
        <w:spacing w:line="560" w:lineRule="atLeast"/>
        <w:rPr>
          <w:rFonts w:asciiTheme="minorEastAsia" w:hAnsiTheme="minorEastAsia" w:eastAsiaTheme="minorEastAsia" w:cstheme="minorEastAsia"/>
          <w:sz w:val="28"/>
          <w:szCs w:val="28"/>
          <w:lang w:eastAsia="zh-CN"/>
        </w:rPr>
      </w:pPr>
    </w:p>
    <w:p w14:paraId="42DFC3C8">
      <w:pPr>
        <w:ind w:left="0" w:leftChars="0" w:firstLine="0" w:firstLineChars="0"/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54B7C5">
    <w:pPr>
      <w:pStyle w:val="4"/>
      <w:ind w:firstLine="400"/>
      <w:jc w:val="center"/>
    </w:pPr>
  </w:p>
  <w:p w14:paraId="06563DD7">
    <w:pPr>
      <w:pStyle w:val="4"/>
      <w:ind w:firstLine="40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D7CB9">
    <w:pPr>
      <w:pStyle w:val="4"/>
      <w:ind w:firstLine="40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12C97">
    <w:pPr>
      <w:pStyle w:val="4"/>
      <w:ind w:firstLine="40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4EB92">
    <w:pPr>
      <w:pStyle w:val="4"/>
      <w:ind w:firstLine="400"/>
      <w:jc w:val="both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16492B">
                          <w:pPr>
                            <w:pStyle w:val="4"/>
                            <w:ind w:firstLine="40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16492B">
                    <w:pPr>
                      <w:pStyle w:val="4"/>
                      <w:ind w:firstLine="40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8CED456">
    <w:pPr>
      <w:pStyle w:val="4"/>
      <w:ind w:firstLine="40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C666FB">
    <w:pPr>
      <w:pStyle w:val="5"/>
      <w:ind w:firstLine="420"/>
    </w:pPr>
    <w:r>
      <w:rPr>
        <w:rFonts w:hint="eastAsia" w:ascii="宋体" w:hAnsi="宋体"/>
        <w:sz w:val="21"/>
        <w:szCs w:val="21"/>
        <w:lang w:eastAsia="zh-CN"/>
      </w:rPr>
      <w:t xml:space="preserve">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2D5BE">
    <w:pPr>
      <w:pStyle w:val="5"/>
      <w:ind w:firstLine="4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36DBCE">
    <w:pPr>
      <w:pStyle w:val="5"/>
      <w:ind w:firstLine="4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8E240"/>
    <w:multiLevelType w:val="singleLevel"/>
    <w:tmpl w:val="8F38E240"/>
    <w:lvl w:ilvl="0" w:tentative="0">
      <w:start w:val="1"/>
      <w:numFmt w:val="decimal"/>
      <w:lvlText w:val="%1."/>
      <w:lvlJc w:val="left"/>
      <w:pPr>
        <w:ind w:left="0" w:firstLine="125"/>
      </w:pPr>
      <w:rPr>
        <w:rFonts w:hint="default"/>
      </w:rPr>
    </w:lvl>
  </w:abstractNum>
  <w:abstractNum w:abstractNumId="1">
    <w:nsid w:val="AE5D1CA5"/>
    <w:multiLevelType w:val="singleLevel"/>
    <w:tmpl w:val="AE5D1CA5"/>
    <w:lvl w:ilvl="0" w:tentative="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</w:abstractNum>
  <w:abstractNum w:abstractNumId="2">
    <w:nsid w:val="B4DDBD29"/>
    <w:multiLevelType w:val="multilevel"/>
    <w:tmpl w:val="B4DDBD29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pStyle w:val="3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abstractNum w:abstractNumId="3">
    <w:nsid w:val="BC6F3BE6"/>
    <w:multiLevelType w:val="singleLevel"/>
    <w:tmpl w:val="BC6F3BE6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4">
    <w:nsid w:val="D1171684"/>
    <w:multiLevelType w:val="singleLevel"/>
    <w:tmpl w:val="D1171684"/>
    <w:lvl w:ilvl="0" w:tentative="0">
      <w:start w:val="1"/>
      <w:numFmt w:val="decimal"/>
      <w:suff w:val="nothing"/>
      <w:lvlText w:val="(%1)"/>
      <w:lvlJc w:val="left"/>
      <w:pPr>
        <w:ind w:left="0" w:firstLine="125"/>
      </w:pPr>
      <w:rPr>
        <w:rFonts w:hint="default"/>
      </w:rPr>
    </w:lvl>
  </w:abstractNum>
  <w:abstractNum w:abstractNumId="5">
    <w:nsid w:val="F8A01C7B"/>
    <w:multiLevelType w:val="singleLevel"/>
    <w:tmpl w:val="F8A01C7B"/>
    <w:lvl w:ilvl="0" w:tentative="0">
      <w:start w:val="1"/>
      <w:numFmt w:val="decimal"/>
      <w:lvlText w:val="%1."/>
      <w:lvlJc w:val="left"/>
      <w:pPr>
        <w:ind w:left="0" w:firstLine="113"/>
      </w:pPr>
      <w:rPr>
        <w:rFonts w:hint="default"/>
      </w:rPr>
    </w:lvl>
  </w:abstractNum>
  <w:abstractNum w:abstractNumId="6">
    <w:nsid w:val="4BF86541"/>
    <w:multiLevelType w:val="singleLevel"/>
    <w:tmpl w:val="4BF86541"/>
    <w:lvl w:ilvl="0" w:tentative="0">
      <w:start w:val="1"/>
      <w:numFmt w:val="decimal"/>
      <w:suff w:val="nothing"/>
      <w:lvlText w:val="(%1)"/>
      <w:lvlJc w:val="left"/>
      <w:pPr>
        <w:ind w:left="0" w:firstLine="125"/>
      </w:pPr>
      <w:rPr>
        <w:rFonts w:hint="default"/>
      </w:rPr>
    </w:lvl>
  </w:abstractNum>
  <w:abstractNum w:abstractNumId="7">
    <w:nsid w:val="51D4AC40"/>
    <w:multiLevelType w:val="singleLevel"/>
    <w:tmpl w:val="51D4AC40"/>
    <w:lvl w:ilvl="0" w:tentative="0">
      <w:start w:val="1"/>
      <w:numFmt w:val="decimal"/>
      <w:suff w:val="nothing"/>
      <w:lvlText w:val="%1."/>
      <w:lvlJc w:val="left"/>
      <w:pPr>
        <w:ind w:left="0" w:firstLine="125"/>
      </w:pPr>
      <w:rPr>
        <w:rFonts w:hint="default"/>
      </w:rPr>
    </w:lvl>
  </w:abstractNum>
  <w:abstractNum w:abstractNumId="8">
    <w:nsid w:val="7A595F22"/>
    <w:multiLevelType w:val="singleLevel"/>
    <w:tmpl w:val="7A595F22"/>
    <w:lvl w:ilvl="0" w:tentative="0">
      <w:start w:val="1"/>
      <w:numFmt w:val="decimal"/>
      <w:suff w:val="nothing"/>
      <w:lvlText w:val="%1."/>
      <w:lvlJc w:val="left"/>
      <w:pPr>
        <w:ind w:left="0" w:firstLine="125"/>
      </w:pPr>
      <w:rPr>
        <w:rFonts w:hint="default"/>
      </w:rPr>
    </w:lvl>
  </w:abstractNum>
  <w:abstractNum w:abstractNumId="9">
    <w:nsid w:val="7DDD4E5E"/>
    <w:multiLevelType w:val="singleLevel"/>
    <w:tmpl w:val="7DDD4E5E"/>
    <w:lvl w:ilvl="0" w:tentative="0">
      <w:start w:val="1"/>
      <w:numFmt w:val="decimal"/>
      <w:suff w:val="nothing"/>
      <w:lvlText w:val="(%1)"/>
      <w:lvlJc w:val="left"/>
      <w:pPr>
        <w:ind w:left="0" w:firstLine="125"/>
      </w:pPr>
      <w:rPr>
        <w:rFonts w:hint="default"/>
      </w:rPr>
    </w:lvl>
  </w:abstractNum>
  <w:abstractNum w:abstractNumId="10">
    <w:nsid w:val="7ECCE2B8"/>
    <w:multiLevelType w:val="singleLevel"/>
    <w:tmpl w:val="7ECCE2B8"/>
    <w:lvl w:ilvl="0" w:tentative="0">
      <w:start w:val="1"/>
      <w:numFmt w:val="decimal"/>
      <w:suff w:val="nothing"/>
      <w:lvlText w:val="(%1)"/>
      <w:lvlJc w:val="left"/>
      <w:pPr>
        <w:ind w:left="0" w:firstLine="125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10"/>
  </w:num>
  <w:num w:numId="8">
    <w:abstractNumId w:val="9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D7C0A"/>
    <w:rsid w:val="002B1EC7"/>
    <w:rsid w:val="006E4BB1"/>
    <w:rsid w:val="00700D4C"/>
    <w:rsid w:val="00826B22"/>
    <w:rsid w:val="0B0623F2"/>
    <w:rsid w:val="48362BAB"/>
    <w:rsid w:val="66DD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80" w:firstLineChars="200"/>
    </w:pPr>
    <w:rPr>
      <w:rFonts w:eastAsia="宋体" w:asciiTheme="minorHAnsi" w:hAnsiTheme="minorHAnsi" w:cstheme="minorBidi"/>
      <w:kern w:val="2"/>
      <w:sz w:val="24"/>
      <w:szCs w:val="22"/>
      <w:lang w:val="en-US" w:eastAsia="zh-TW" w:bidi="ar-SA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widowControl/>
      <w:numPr>
        <w:ilvl w:val="1"/>
        <w:numId w:val="1"/>
      </w:numPr>
      <w:spacing w:afterAutospacing="1"/>
      <w:ind w:firstLineChars="0"/>
      <w:outlineLvl w:val="1"/>
    </w:pPr>
    <w:rPr>
      <w:rFonts w:ascii="宋体" w:hAnsi="宋体" w:eastAsia="仿宋" w:cs="Times New Roman"/>
      <w:b/>
      <w:bCs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eastAsia="en-US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5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Microsoft JhengHei" w:eastAsia="Microsoft JhengHei" w:cs="Microsoft JhengHei" w:hAnsiTheme="minorHAnsi"/>
      <w:color w:val="000000"/>
      <w:sz w:val="24"/>
      <w:szCs w:val="24"/>
      <w:lang w:val="en-US" w:eastAsia="zh-TW" w:bidi="ar-SA"/>
    </w:rPr>
  </w:style>
  <w:style w:type="paragraph" w:styleId="10">
    <w:name w:val="List Paragraph"/>
    <w:basedOn w:val="1"/>
    <w:autoRedefine/>
    <w:qFormat/>
    <w:uiPriority w:val="34"/>
    <w:pPr>
      <w:ind w:left="480" w:left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1414</Words>
  <Characters>1513</Characters>
  <Lines>11</Lines>
  <Paragraphs>3</Paragraphs>
  <TotalTime>11</TotalTime>
  <ScaleCrop>false</ScaleCrop>
  <LinksUpToDate>false</LinksUpToDate>
  <CharactersWithSpaces>1545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2025-01-09T06:26:00Z</dcterms:created>
  <dc:creator>★唯爱★</dc:creator>
  <cp:lastModifiedBy>TROY</cp:lastModifiedBy>
  <dcterms:modified xsi:type="dcterms:W3CDTF">2025-03-19T07:36:55Z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3C1FCEDE588042C492727E1CFB646E41_11</vt:lpwstr>
  </property>
  <property fmtid="{D5CDD505-2E9C-101B-9397-08002B2CF9AE}" pid="4" name="KSOTemplateDocerSaveRecord">
    <vt:lpwstr>eyJoZGlkIjoiNWI0ZjlmN2FhMGNmZTQ1NGNkZjZkNjQ3NGE5YTI3NjYiLCJ1c2VySWQiOiI0NjgwODQ0MDcifQ==</vt:lpwstr>
  </property>
</Properties>
</file>