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5A52" w:rsidRDefault="00526D26">
      <w:pPr>
        <w:spacing w:line="0" w:lineRule="atLeast"/>
        <w:ind w:firstLineChars="100" w:firstLine="442"/>
        <w:jc w:val="center"/>
        <w:rPr>
          <w:rFonts w:ascii="Times New Roman" w:eastAsia="宋体" w:hAnsi="Times New Roman" w:cs="Times New Roman"/>
          <w:b/>
          <w:bCs/>
          <w:sz w:val="48"/>
          <w:szCs w:val="48"/>
          <w:lang w:eastAsia="zh-CN"/>
        </w:rPr>
      </w:pPr>
      <w:r>
        <w:rPr>
          <w:rFonts w:ascii="宋体" w:eastAsia="宋体" w:hAnsi="宋体" w:cs="宋体" w:hint="eastAsia"/>
          <w:b/>
          <w:bCs/>
          <w:sz w:val="44"/>
          <w:szCs w:val="44"/>
          <w:lang w:eastAsia="zh-CN"/>
        </w:rPr>
        <w:t>三明市（永安市、沙县）生活垃圾焚烧发</w:t>
      </w:r>
      <w:r>
        <w:rPr>
          <w:rFonts w:ascii="宋体" w:eastAsia="宋体" w:hAnsi="宋体" w:cs="宋体" w:hint="eastAsia"/>
          <w:b/>
          <w:bCs/>
          <w:sz w:val="44"/>
          <w:szCs w:val="44"/>
          <w:lang w:eastAsia="zh-CN"/>
        </w:rPr>
        <w:t xml:space="preserve">       </w:t>
      </w:r>
      <w:r>
        <w:rPr>
          <w:rFonts w:ascii="宋体" w:eastAsia="宋体" w:hAnsi="宋体" w:cs="宋体" w:hint="eastAsia"/>
          <w:b/>
          <w:bCs/>
          <w:sz w:val="44"/>
          <w:szCs w:val="44"/>
          <w:lang w:eastAsia="zh-CN"/>
        </w:rPr>
        <w:t>电厂一期项目飞灰固化设备</w:t>
      </w:r>
    </w:p>
    <w:p w:rsidR="00D65A52" w:rsidRDefault="00D65A52">
      <w:pPr>
        <w:spacing w:line="0" w:lineRule="atLeast"/>
        <w:rPr>
          <w:rFonts w:ascii="Times New Roman" w:eastAsia="Microsoft JhengHei" w:hAnsi="Times New Roman" w:cs="Times New Roman"/>
          <w:szCs w:val="24"/>
        </w:rPr>
      </w:pPr>
    </w:p>
    <w:p w:rsidR="00D65A52" w:rsidRDefault="00526D26">
      <w:pPr>
        <w:spacing w:line="0" w:lineRule="atLeast"/>
        <w:jc w:val="center"/>
        <w:rPr>
          <w:rFonts w:ascii="Times New Roman" w:eastAsia="宋体" w:hAnsi="Times New Roman" w:cs="Times New Roman"/>
          <w:b/>
          <w:sz w:val="56"/>
          <w:szCs w:val="56"/>
          <w:lang w:eastAsia="zh-CN"/>
        </w:rPr>
      </w:pPr>
      <w:r>
        <w:rPr>
          <w:rFonts w:ascii="Times New Roman" w:eastAsia="宋体" w:hAnsi="Times New Roman" w:cs="Times New Roman" w:hint="eastAsia"/>
          <w:b/>
          <w:sz w:val="40"/>
          <w:szCs w:val="40"/>
          <w:lang w:eastAsia="zh-CN"/>
        </w:rPr>
        <w:t>水泥采购技术规范书</w:t>
      </w: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Microsoft JhengHei" w:hAnsi="Times New Roman" w:cs="Times New Roman"/>
          <w:sz w:val="40"/>
          <w:szCs w:val="40"/>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D65A52">
      <w:pPr>
        <w:spacing w:line="0" w:lineRule="atLeast"/>
        <w:jc w:val="center"/>
        <w:rPr>
          <w:rFonts w:ascii="Times New Roman" w:eastAsia="宋体" w:hAnsi="Times New Roman" w:cs="Times New Roman"/>
          <w:b/>
          <w:sz w:val="56"/>
          <w:szCs w:val="56"/>
          <w:lang w:eastAsia="zh-CN"/>
        </w:rPr>
      </w:pPr>
    </w:p>
    <w:p w:rsidR="00D65A52" w:rsidRDefault="00526D26">
      <w:pPr>
        <w:spacing w:line="0" w:lineRule="atLeast"/>
        <w:jc w:val="center"/>
        <w:rPr>
          <w:rFonts w:ascii="Times New Roman" w:eastAsia="宋体" w:hAnsi="Times New Roman" w:cs="Times New Roman"/>
          <w:b/>
          <w:sz w:val="40"/>
          <w:szCs w:val="40"/>
          <w:lang w:eastAsia="zh-CN"/>
        </w:rPr>
      </w:pPr>
      <w:r>
        <w:rPr>
          <w:rFonts w:ascii="Times New Roman" w:eastAsia="宋体" w:hAnsi="Times New Roman" w:cs="Times New Roman" w:hint="eastAsia"/>
          <w:b/>
          <w:sz w:val="40"/>
          <w:szCs w:val="40"/>
          <w:lang w:eastAsia="zh-CN"/>
        </w:rPr>
        <w:t>三明市金利亚环保科技投资</w:t>
      </w:r>
      <w:r>
        <w:rPr>
          <w:rFonts w:ascii="Times New Roman" w:eastAsia="宋体" w:hAnsi="Times New Roman" w:cs="Times New Roman"/>
          <w:b/>
          <w:sz w:val="40"/>
          <w:szCs w:val="40"/>
          <w:lang w:eastAsia="zh-CN"/>
        </w:rPr>
        <w:t>有限公司</w:t>
      </w:r>
    </w:p>
    <w:p w:rsidR="00D65A52" w:rsidRDefault="00D65A52">
      <w:pPr>
        <w:spacing w:line="0" w:lineRule="atLeast"/>
        <w:rPr>
          <w:rFonts w:ascii="Times New Roman" w:hAnsi="Times New Roman" w:cs="Times New Roman"/>
          <w:sz w:val="40"/>
          <w:szCs w:val="40"/>
          <w:lang w:eastAsia="zh-CN"/>
        </w:rPr>
      </w:pPr>
    </w:p>
    <w:p w:rsidR="00D65A52" w:rsidRDefault="00D65A52">
      <w:pPr>
        <w:spacing w:line="0" w:lineRule="atLeast"/>
        <w:rPr>
          <w:rFonts w:ascii="Times New Roman" w:hAnsi="Times New Roman" w:cs="Times New Roman"/>
          <w:b/>
          <w:sz w:val="40"/>
          <w:szCs w:val="40"/>
          <w:lang w:eastAsia="zh-CN"/>
        </w:rPr>
      </w:pPr>
    </w:p>
    <w:p w:rsidR="00D65A52" w:rsidRDefault="00526D26">
      <w:pPr>
        <w:spacing w:line="0" w:lineRule="atLeast"/>
        <w:jc w:val="center"/>
        <w:rPr>
          <w:rFonts w:ascii="Times New Roman" w:eastAsiaTheme="majorEastAsia" w:hAnsi="Times New Roman" w:cs="Times New Roman"/>
          <w:b/>
          <w:sz w:val="40"/>
          <w:szCs w:val="40"/>
          <w:lang w:eastAsia="zh-CN"/>
        </w:rPr>
      </w:pPr>
      <w:r>
        <w:rPr>
          <w:rFonts w:ascii="Times New Roman" w:eastAsiaTheme="majorEastAsia" w:hAnsi="Times New Roman" w:cs="Times New Roman"/>
          <w:b/>
          <w:sz w:val="40"/>
          <w:szCs w:val="40"/>
          <w:lang w:eastAsia="zh-CN"/>
        </w:rPr>
        <w:t>20</w:t>
      </w:r>
      <w:r>
        <w:rPr>
          <w:rFonts w:ascii="Times New Roman" w:eastAsiaTheme="majorEastAsia" w:hAnsi="Times New Roman" w:cs="Times New Roman" w:hint="eastAsia"/>
          <w:b/>
          <w:sz w:val="40"/>
          <w:szCs w:val="40"/>
          <w:lang w:eastAsia="zh-CN"/>
        </w:rPr>
        <w:t>25</w:t>
      </w:r>
      <w:r>
        <w:rPr>
          <w:rFonts w:ascii="Times New Roman" w:eastAsiaTheme="majorEastAsia" w:hAnsi="Times New Roman" w:cs="Times New Roman"/>
          <w:b/>
          <w:sz w:val="40"/>
          <w:szCs w:val="40"/>
          <w:lang w:eastAsia="zh-CN"/>
        </w:rPr>
        <w:t>年</w:t>
      </w:r>
      <w:r>
        <w:rPr>
          <w:rFonts w:ascii="Times New Roman" w:eastAsiaTheme="majorEastAsia" w:hAnsi="Times New Roman" w:cs="Times New Roman" w:hint="eastAsia"/>
          <w:b/>
          <w:sz w:val="40"/>
          <w:szCs w:val="40"/>
          <w:lang w:eastAsia="zh-CN"/>
        </w:rPr>
        <w:t>01</w:t>
      </w:r>
      <w:r>
        <w:rPr>
          <w:rFonts w:ascii="Times New Roman" w:eastAsiaTheme="majorEastAsia" w:hAnsi="Times New Roman" w:cs="Times New Roman"/>
          <w:b/>
          <w:sz w:val="40"/>
          <w:szCs w:val="40"/>
          <w:lang w:eastAsia="zh-CN"/>
        </w:rPr>
        <w:t>月</w:t>
      </w:r>
    </w:p>
    <w:p w:rsidR="00D65A52" w:rsidRDefault="00D65A52">
      <w:pPr>
        <w:spacing w:line="0" w:lineRule="atLeast"/>
        <w:jc w:val="center"/>
        <w:rPr>
          <w:rFonts w:ascii="Times New Roman" w:eastAsia="Microsoft JhengHei" w:hAnsi="Times New Roman" w:cs="Times New Roman"/>
          <w:szCs w:val="24"/>
          <w:lang w:eastAsia="zh-CN"/>
        </w:rPr>
      </w:pPr>
    </w:p>
    <w:p w:rsidR="00D65A52" w:rsidRDefault="00D65A52">
      <w:pPr>
        <w:spacing w:line="0" w:lineRule="atLeast"/>
        <w:jc w:val="center"/>
        <w:rPr>
          <w:rFonts w:ascii="Times New Roman" w:eastAsia="Microsoft JhengHei" w:hAnsi="Times New Roman" w:cs="Times New Roman"/>
          <w:szCs w:val="24"/>
          <w:lang w:eastAsia="zh-CN"/>
        </w:rPr>
      </w:pPr>
    </w:p>
    <w:p w:rsidR="00D65A52" w:rsidRDefault="00D65A52">
      <w:pPr>
        <w:spacing w:line="0" w:lineRule="atLeast"/>
        <w:jc w:val="center"/>
        <w:rPr>
          <w:rFonts w:ascii="Times New Roman" w:eastAsiaTheme="majorEastAsia" w:hAnsi="Times New Roman" w:cs="Times New Roman"/>
          <w:b/>
          <w:sz w:val="44"/>
          <w:szCs w:val="44"/>
          <w:lang w:eastAsia="zh-CN"/>
        </w:rPr>
      </w:pPr>
    </w:p>
    <w:p w:rsidR="00D65A52" w:rsidRDefault="00D65A52">
      <w:pPr>
        <w:spacing w:line="0" w:lineRule="atLeast"/>
        <w:jc w:val="center"/>
        <w:rPr>
          <w:rFonts w:ascii="Times New Roman" w:eastAsia="宋体" w:hAnsi="Times New Roman" w:cs="Times New Roman"/>
          <w:b/>
          <w:sz w:val="40"/>
          <w:szCs w:val="40"/>
          <w:lang w:eastAsia="zh-CN"/>
        </w:rPr>
        <w:sectPr w:rsidR="00D65A52">
          <w:pgSz w:w="11906" w:h="16838"/>
          <w:pgMar w:top="1440" w:right="1800" w:bottom="1440" w:left="1800" w:header="851" w:footer="992" w:gutter="0"/>
          <w:cols w:space="425"/>
          <w:docGrid w:type="lines" w:linePitch="312"/>
        </w:sectPr>
      </w:pPr>
    </w:p>
    <w:p w:rsidR="00D65A52" w:rsidRDefault="00526D26">
      <w:pPr>
        <w:spacing w:line="0" w:lineRule="atLeast"/>
        <w:jc w:val="center"/>
        <w:rPr>
          <w:rFonts w:ascii="Times New Roman" w:eastAsia="宋体" w:hAnsi="Times New Roman" w:cs="Times New Roman"/>
          <w:b/>
          <w:sz w:val="56"/>
          <w:szCs w:val="56"/>
          <w:lang w:eastAsia="zh-CN"/>
        </w:rPr>
      </w:pPr>
      <w:r>
        <w:rPr>
          <w:rFonts w:ascii="Times New Roman" w:eastAsia="宋体" w:hAnsi="Times New Roman" w:cs="Times New Roman" w:hint="eastAsia"/>
          <w:b/>
          <w:sz w:val="40"/>
          <w:szCs w:val="40"/>
          <w:lang w:eastAsia="zh-CN"/>
        </w:rPr>
        <w:lastRenderedPageBreak/>
        <w:t>技术规范书</w:t>
      </w:r>
    </w:p>
    <w:p w:rsidR="00D65A52" w:rsidRDefault="00D65A52">
      <w:pPr>
        <w:pStyle w:val="Default"/>
        <w:snapToGrid w:val="0"/>
        <w:spacing w:line="560" w:lineRule="atLeast"/>
        <w:rPr>
          <w:rFonts w:asciiTheme="minorEastAsia" w:eastAsiaTheme="minorEastAsia" w:hAnsiTheme="minorEastAsia" w:cstheme="minorEastAsia"/>
          <w:b/>
          <w:sz w:val="28"/>
          <w:szCs w:val="28"/>
          <w:lang w:eastAsia="zh-CN"/>
        </w:rPr>
      </w:pPr>
    </w:p>
    <w:p w:rsidR="00D65A52" w:rsidRDefault="00526D2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项目简介</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项目名称：三明市（永安市、沙县）生活垃圾焚烧发电厂一期水泥生产材料采购</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建设单位：云南固废投资有限公司</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项目公司：三明市金利亚环保科技</w:t>
      </w:r>
      <w:proofErr w:type="gramStart"/>
      <w:r>
        <w:rPr>
          <w:rFonts w:asciiTheme="minorEastAsia" w:eastAsiaTheme="minorEastAsia" w:hAnsiTheme="minorEastAsia" w:cstheme="minorEastAsia" w:hint="eastAsia"/>
          <w:bCs/>
          <w:sz w:val="28"/>
          <w:szCs w:val="28"/>
          <w:lang w:eastAsia="zh-CN"/>
        </w:rPr>
        <w:t>投资投资</w:t>
      </w:r>
      <w:proofErr w:type="gramEnd"/>
      <w:r>
        <w:rPr>
          <w:rFonts w:asciiTheme="minorEastAsia" w:eastAsiaTheme="minorEastAsia" w:hAnsiTheme="minorEastAsia" w:cstheme="minorEastAsia" w:hint="eastAsia"/>
          <w:bCs/>
          <w:sz w:val="28"/>
          <w:szCs w:val="28"/>
          <w:lang w:eastAsia="zh-CN"/>
        </w:rPr>
        <w:t>有限公司（需方）</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厂</w:t>
      </w:r>
      <w:r>
        <w:rPr>
          <w:rFonts w:asciiTheme="minorEastAsia" w:eastAsiaTheme="minorEastAsia" w:hAnsiTheme="minorEastAsia" w:cstheme="minorEastAsia" w:hint="eastAsia"/>
          <w:bCs/>
          <w:sz w:val="28"/>
          <w:szCs w:val="28"/>
          <w:lang w:eastAsia="zh-CN"/>
        </w:rPr>
        <w:t xml:space="preserve">    </w:t>
      </w:r>
      <w:r>
        <w:rPr>
          <w:rFonts w:asciiTheme="minorEastAsia" w:eastAsiaTheme="minorEastAsia" w:hAnsiTheme="minorEastAsia" w:cstheme="minorEastAsia" w:hint="eastAsia"/>
          <w:bCs/>
          <w:sz w:val="28"/>
          <w:szCs w:val="28"/>
          <w:lang w:eastAsia="zh-CN"/>
        </w:rPr>
        <w:t>址：三明市金利亚环保科技</w:t>
      </w:r>
      <w:proofErr w:type="gramStart"/>
      <w:r>
        <w:rPr>
          <w:rFonts w:asciiTheme="minorEastAsia" w:eastAsiaTheme="minorEastAsia" w:hAnsiTheme="minorEastAsia" w:cstheme="minorEastAsia" w:hint="eastAsia"/>
          <w:bCs/>
          <w:sz w:val="28"/>
          <w:szCs w:val="28"/>
          <w:lang w:eastAsia="zh-CN"/>
        </w:rPr>
        <w:t>投资投资</w:t>
      </w:r>
      <w:proofErr w:type="gramEnd"/>
      <w:r>
        <w:rPr>
          <w:rFonts w:asciiTheme="minorEastAsia" w:eastAsiaTheme="minorEastAsia" w:hAnsiTheme="minorEastAsia" w:cstheme="minorEastAsia" w:hint="eastAsia"/>
          <w:bCs/>
          <w:sz w:val="28"/>
          <w:szCs w:val="28"/>
          <w:lang w:eastAsia="zh-CN"/>
        </w:rPr>
        <w:t>有限公司内。</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设计规模：三明市金利亚生活垃圾焚烧发电项目一期工程规模为日处理生活垃圾</w:t>
      </w:r>
      <w:r>
        <w:rPr>
          <w:rFonts w:asciiTheme="minorEastAsia" w:eastAsiaTheme="minorEastAsia" w:hAnsiTheme="minorEastAsia" w:cstheme="minorEastAsia" w:hint="eastAsia"/>
          <w:bCs/>
          <w:sz w:val="28"/>
          <w:szCs w:val="28"/>
          <w:lang w:eastAsia="zh-CN"/>
        </w:rPr>
        <w:t>5</w:t>
      </w:r>
      <w:r>
        <w:rPr>
          <w:rFonts w:asciiTheme="minorEastAsia" w:eastAsiaTheme="minorEastAsia" w:hAnsiTheme="minorEastAsia" w:cstheme="minorEastAsia" w:hint="eastAsia"/>
          <w:bCs/>
          <w:sz w:val="28"/>
          <w:szCs w:val="28"/>
          <w:lang w:eastAsia="zh-CN"/>
        </w:rPr>
        <w:t>00t/d</w:t>
      </w:r>
      <w:r>
        <w:rPr>
          <w:rFonts w:asciiTheme="minorEastAsia" w:eastAsiaTheme="minorEastAsia" w:hAnsiTheme="minorEastAsia" w:cstheme="minorEastAsia" w:hint="eastAsia"/>
          <w:bCs/>
          <w:sz w:val="28"/>
          <w:szCs w:val="28"/>
          <w:lang w:eastAsia="zh-CN"/>
        </w:rPr>
        <w:t>，即</w:t>
      </w:r>
      <w:r>
        <w:rPr>
          <w:rFonts w:asciiTheme="minorEastAsia" w:eastAsiaTheme="minorEastAsia" w:hAnsiTheme="minorEastAsia" w:cstheme="minorEastAsia" w:hint="eastAsia"/>
          <w:bCs/>
          <w:sz w:val="28"/>
          <w:szCs w:val="28"/>
          <w:lang w:eastAsia="zh-CN"/>
        </w:rPr>
        <w:t>1</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5</w:t>
      </w:r>
      <w:r>
        <w:rPr>
          <w:rFonts w:asciiTheme="minorEastAsia" w:eastAsiaTheme="minorEastAsia" w:hAnsiTheme="minorEastAsia" w:cstheme="minorEastAsia" w:hint="eastAsia"/>
          <w:bCs/>
          <w:sz w:val="28"/>
          <w:szCs w:val="28"/>
          <w:lang w:eastAsia="zh-CN"/>
        </w:rPr>
        <w:t>00t/d</w:t>
      </w:r>
      <w:r>
        <w:rPr>
          <w:rFonts w:asciiTheme="minorEastAsia" w:eastAsiaTheme="minorEastAsia" w:hAnsiTheme="minorEastAsia" w:cstheme="minorEastAsia" w:hint="eastAsia"/>
          <w:bCs/>
          <w:sz w:val="28"/>
          <w:szCs w:val="28"/>
          <w:lang w:eastAsia="zh-CN"/>
        </w:rPr>
        <w:t>机械炉排焚烧锅炉，配</w:t>
      </w:r>
      <w:r>
        <w:rPr>
          <w:rFonts w:asciiTheme="minorEastAsia" w:eastAsiaTheme="minorEastAsia" w:hAnsiTheme="minorEastAsia" w:cstheme="minorEastAsia" w:hint="eastAsia"/>
          <w:bCs/>
          <w:sz w:val="28"/>
          <w:szCs w:val="28"/>
          <w:lang w:eastAsia="zh-CN"/>
        </w:rPr>
        <w:t>1</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12MW</w:t>
      </w:r>
      <w:r>
        <w:rPr>
          <w:rFonts w:asciiTheme="minorEastAsia" w:eastAsiaTheme="minorEastAsia" w:hAnsiTheme="minorEastAsia" w:cstheme="minorEastAsia" w:hint="eastAsia"/>
          <w:bCs/>
          <w:sz w:val="28"/>
          <w:szCs w:val="28"/>
          <w:lang w:eastAsia="zh-CN"/>
        </w:rPr>
        <w:t>凝汽式汽轮发电机组。烟气产生的飞灰通过螺旋输送到飞灰固化车间的飞灰仓内，飞灰稳定车间设有螯合剂罐、水泵等相应配套设施。飞灰、螯合剂、水泥等按设定比例称重后送至搅拌罐里，</w:t>
      </w:r>
      <w:r>
        <w:rPr>
          <w:rFonts w:asciiTheme="minorEastAsia" w:eastAsiaTheme="minorEastAsia" w:hAnsiTheme="minorEastAsia" w:cstheme="minorEastAsia" w:hint="eastAsia"/>
          <w:bCs/>
          <w:sz w:val="28"/>
          <w:szCs w:val="28"/>
          <w:lang w:eastAsia="zh-CN"/>
        </w:rPr>
        <w:t xml:space="preserve"> </w:t>
      </w:r>
      <w:r>
        <w:rPr>
          <w:rFonts w:asciiTheme="minorEastAsia" w:eastAsiaTheme="minorEastAsia" w:hAnsiTheme="minorEastAsia" w:cstheme="minorEastAsia" w:hint="eastAsia"/>
          <w:bCs/>
          <w:sz w:val="28"/>
          <w:szCs w:val="28"/>
          <w:lang w:eastAsia="zh-CN"/>
        </w:rPr>
        <w:t>对物料搅拌混合，并按一定比例加入水。搅拌均匀的飞灰混合物下到吨袋内进行成型稳定后的飞灰满足标准要求后，送至填埋场指定区域进行安全填埋。</w:t>
      </w:r>
    </w:p>
    <w:p w:rsidR="00D65A52" w:rsidRDefault="00526D26">
      <w:pPr>
        <w:pStyle w:val="Default"/>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Cs/>
          <w:sz w:val="28"/>
          <w:szCs w:val="28"/>
          <w:lang w:eastAsia="zh-CN"/>
        </w:rPr>
        <w:t>本技术标书是对烟气净化后产生的飞灰进行固化所需的水泥产品的采购、验货及其</w:t>
      </w:r>
      <w:r>
        <w:rPr>
          <w:rFonts w:asciiTheme="minorEastAsia" w:eastAsiaTheme="minorEastAsia" w:hAnsiTheme="minorEastAsia" w:cstheme="minorEastAsia" w:hint="eastAsia"/>
          <w:bCs/>
          <w:sz w:val="28"/>
          <w:szCs w:val="28"/>
          <w:lang w:eastAsia="zh-CN"/>
        </w:rPr>
        <w:t>他</w:t>
      </w:r>
      <w:proofErr w:type="gramStart"/>
      <w:r>
        <w:rPr>
          <w:rFonts w:asciiTheme="minorEastAsia" w:eastAsiaTheme="minorEastAsia" w:hAnsiTheme="minorEastAsia" w:cstheme="minorEastAsia" w:hint="eastAsia"/>
          <w:bCs/>
          <w:sz w:val="28"/>
          <w:szCs w:val="28"/>
          <w:lang w:eastAsia="zh-CN"/>
        </w:rPr>
        <w:t>作出</w:t>
      </w:r>
      <w:proofErr w:type="gramEnd"/>
      <w:r>
        <w:rPr>
          <w:rFonts w:asciiTheme="minorEastAsia" w:eastAsiaTheme="minorEastAsia" w:hAnsiTheme="minorEastAsia" w:cstheme="minorEastAsia" w:hint="eastAsia"/>
          <w:bCs/>
          <w:sz w:val="28"/>
          <w:szCs w:val="28"/>
          <w:lang w:eastAsia="zh-CN"/>
        </w:rPr>
        <w:t>基本要求。</w:t>
      </w:r>
    </w:p>
    <w:p w:rsidR="00D65A52" w:rsidRDefault="00526D2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供货需求：</w:t>
      </w:r>
    </w:p>
    <w:p w:rsidR="00D65A52" w:rsidRDefault="00526D26">
      <w:pPr>
        <w:pStyle w:val="Default"/>
        <w:numPr>
          <w:ilvl w:val="0"/>
          <w:numId w:val="2"/>
        </w:numPr>
        <w:tabs>
          <w:tab w:val="clear" w:pos="420"/>
        </w:tabs>
        <w:snapToGrid w:val="0"/>
        <w:spacing w:line="560" w:lineRule="atLeast"/>
        <w:ind w:left="420" w:hanging="284"/>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送货需求量会结合现场的运行、检修情况和现场存货情况而调整。</w:t>
      </w:r>
    </w:p>
    <w:p w:rsidR="00D65A52" w:rsidRDefault="00526D26">
      <w:pPr>
        <w:pStyle w:val="Default"/>
        <w:numPr>
          <w:ilvl w:val="0"/>
          <w:numId w:val="2"/>
        </w:numPr>
        <w:tabs>
          <w:tab w:val="clear" w:pos="420"/>
        </w:tabs>
        <w:snapToGrid w:val="0"/>
        <w:spacing w:line="560" w:lineRule="atLeast"/>
        <w:ind w:left="420" w:hanging="284"/>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在节假日期间有可能会增加物资储存量，但单次最大供货不会超过</w:t>
      </w:r>
      <w:r>
        <w:rPr>
          <w:rFonts w:asciiTheme="minorEastAsia" w:eastAsiaTheme="minorEastAsia" w:hAnsiTheme="minorEastAsia" w:cstheme="minorEastAsia" w:hint="eastAsia"/>
          <w:sz w:val="28"/>
          <w:szCs w:val="28"/>
          <w:lang w:eastAsia="zh-CN"/>
        </w:rPr>
        <w:t>50</w:t>
      </w:r>
      <w:r>
        <w:rPr>
          <w:rFonts w:asciiTheme="minorEastAsia" w:eastAsiaTheme="minorEastAsia" w:hAnsiTheme="minorEastAsia" w:cstheme="minorEastAsia" w:hint="eastAsia"/>
          <w:sz w:val="28"/>
          <w:szCs w:val="28"/>
          <w:lang w:eastAsia="zh-CN"/>
        </w:rPr>
        <w:t>吨。</w:t>
      </w:r>
    </w:p>
    <w:p w:rsidR="00D65A52" w:rsidRDefault="00526D26">
      <w:pPr>
        <w:pStyle w:val="a5"/>
        <w:numPr>
          <w:ilvl w:val="0"/>
          <w:numId w:val="1"/>
        </w:numPr>
        <w:adjustRightInd w:val="0"/>
        <w:snapToGrid w:val="0"/>
        <w:spacing w:line="560" w:lineRule="atLeast"/>
        <w:ind w:leftChars="0"/>
        <w:rPr>
          <w:rFonts w:asciiTheme="minorEastAsia" w:hAnsiTheme="minorEastAsia" w:cstheme="minorEastAsia"/>
          <w:b/>
          <w:sz w:val="28"/>
          <w:szCs w:val="28"/>
        </w:rPr>
      </w:pPr>
      <w:r>
        <w:rPr>
          <w:rFonts w:asciiTheme="minorEastAsia" w:hAnsiTheme="minorEastAsia" w:cstheme="minorEastAsia" w:hint="eastAsia"/>
          <w:b/>
          <w:sz w:val="28"/>
          <w:szCs w:val="28"/>
        </w:rPr>
        <w:t>三明项目现场边界条件：</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rPr>
        <w:t>现场</w:t>
      </w:r>
      <w:r>
        <w:rPr>
          <w:rFonts w:asciiTheme="minorEastAsia" w:hAnsiTheme="minorEastAsia" w:cstheme="minorEastAsia" w:hint="eastAsia"/>
          <w:kern w:val="0"/>
          <w:sz w:val="28"/>
          <w:szCs w:val="28"/>
          <w:lang w:eastAsia="zh-CN"/>
        </w:rPr>
        <w:t>水泥</w:t>
      </w:r>
      <w:r>
        <w:rPr>
          <w:rFonts w:asciiTheme="minorEastAsia" w:hAnsiTheme="minorEastAsia" w:cstheme="minorEastAsia" w:hint="eastAsia"/>
          <w:kern w:val="0"/>
          <w:sz w:val="28"/>
          <w:szCs w:val="28"/>
        </w:rPr>
        <w:t>罐容量：</w:t>
      </w:r>
      <w:r>
        <w:rPr>
          <w:rFonts w:asciiTheme="minorEastAsia" w:hAnsiTheme="minorEastAsia" w:cstheme="minorEastAsia" w:hint="eastAsia"/>
          <w:kern w:val="0"/>
          <w:sz w:val="28"/>
          <w:szCs w:val="28"/>
        </w:rPr>
        <w:t>1#</w:t>
      </w:r>
      <w:r>
        <w:rPr>
          <w:rFonts w:asciiTheme="minorEastAsia" w:hAnsiTheme="minorEastAsia" w:cstheme="minorEastAsia" w:hint="eastAsia"/>
          <w:kern w:val="0"/>
          <w:sz w:val="28"/>
          <w:szCs w:val="28"/>
        </w:rPr>
        <w:t>罐</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u w:val="single"/>
          <w:lang w:eastAsia="zh-CN"/>
        </w:rPr>
        <w:t>50</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rPr>
        <w:t>吨；</w:t>
      </w:r>
      <w:r>
        <w:rPr>
          <w:rFonts w:asciiTheme="minorEastAsia" w:hAnsiTheme="minorEastAsia" w:cstheme="minorEastAsia" w:hint="eastAsia"/>
          <w:kern w:val="0"/>
          <w:sz w:val="28"/>
          <w:szCs w:val="28"/>
          <w:lang w:eastAsia="zh-CN"/>
        </w:rPr>
        <w:t>水泥</w:t>
      </w:r>
      <w:r>
        <w:rPr>
          <w:rFonts w:asciiTheme="minorEastAsia" w:hAnsiTheme="minorEastAsia" w:cstheme="minorEastAsia" w:hint="eastAsia"/>
          <w:kern w:val="0"/>
          <w:sz w:val="28"/>
          <w:szCs w:val="28"/>
        </w:rPr>
        <w:t>库容量：</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u w:val="single"/>
          <w:lang w:eastAsia="zh-CN"/>
        </w:rPr>
        <w:t>60</w:t>
      </w:r>
      <w:r>
        <w:rPr>
          <w:rFonts w:asciiTheme="minorEastAsia" w:hAnsiTheme="minorEastAsia" w:cstheme="minorEastAsia" w:hint="eastAsia"/>
          <w:kern w:val="0"/>
          <w:sz w:val="28"/>
          <w:szCs w:val="28"/>
          <w:u w:val="single"/>
          <w:lang w:eastAsia="zh-CN"/>
        </w:rPr>
        <w:t>吨</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lang w:eastAsia="zh-CN"/>
        </w:rPr>
        <w:t>；</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rPr>
        <w:t>卸车形式及接口：</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u w:val="single"/>
          <w:lang w:eastAsia="zh-CN"/>
        </w:rPr>
        <w:t>接口气动输送</w:t>
      </w:r>
      <w:r>
        <w:rPr>
          <w:rFonts w:asciiTheme="minorEastAsia" w:hAnsiTheme="minorEastAsia" w:cstheme="minorEastAsia" w:hint="eastAsia"/>
          <w:kern w:val="0"/>
          <w:sz w:val="28"/>
          <w:szCs w:val="28"/>
          <w:u w:val="single"/>
        </w:rPr>
        <w:t xml:space="preserve">   </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rPr>
        <w:lastRenderedPageBreak/>
        <w:t>地磅限重</w:t>
      </w:r>
      <w:r>
        <w:rPr>
          <w:rFonts w:asciiTheme="minorEastAsia" w:hAnsiTheme="minorEastAsia" w:cstheme="minorEastAsia" w:hint="eastAsia"/>
          <w:kern w:val="0"/>
          <w:sz w:val="28"/>
          <w:szCs w:val="28"/>
          <w:u w:val="single"/>
        </w:rPr>
        <w:t xml:space="preserve">  50 </w:t>
      </w:r>
      <w:r>
        <w:rPr>
          <w:rFonts w:asciiTheme="minorEastAsia" w:hAnsiTheme="minorEastAsia" w:cstheme="minorEastAsia" w:hint="eastAsia"/>
          <w:kern w:val="0"/>
          <w:sz w:val="28"/>
          <w:szCs w:val="28"/>
        </w:rPr>
        <w:t>吨；车辆限长：</w:t>
      </w:r>
      <w:r>
        <w:rPr>
          <w:rFonts w:asciiTheme="minorEastAsia" w:hAnsiTheme="minorEastAsia" w:cstheme="minorEastAsia" w:hint="eastAsia"/>
          <w:kern w:val="0"/>
          <w:sz w:val="28"/>
          <w:szCs w:val="28"/>
          <w:u w:val="single"/>
        </w:rPr>
        <w:t xml:space="preserve">  12  </w:t>
      </w:r>
      <w:r>
        <w:rPr>
          <w:rFonts w:asciiTheme="minorEastAsia" w:hAnsiTheme="minorEastAsia" w:cstheme="minorEastAsia" w:hint="eastAsia"/>
          <w:kern w:val="0"/>
          <w:sz w:val="28"/>
          <w:szCs w:val="28"/>
        </w:rPr>
        <w:t>米，所以要求车辆总重控制</w:t>
      </w:r>
      <w:r>
        <w:rPr>
          <w:rFonts w:asciiTheme="minorEastAsia" w:hAnsiTheme="minorEastAsia" w:cstheme="minorEastAsia" w:hint="eastAsia"/>
          <w:kern w:val="0"/>
          <w:sz w:val="28"/>
          <w:szCs w:val="28"/>
        </w:rPr>
        <w:t xml:space="preserve"> </w:t>
      </w:r>
      <w:r>
        <w:rPr>
          <w:rFonts w:asciiTheme="minorEastAsia" w:hAnsiTheme="minorEastAsia" w:cstheme="minorEastAsia" w:hint="eastAsia"/>
          <w:kern w:val="0"/>
          <w:sz w:val="28"/>
          <w:szCs w:val="28"/>
          <w:u w:val="single"/>
        </w:rPr>
        <w:t xml:space="preserve"> 50 </w:t>
      </w:r>
      <w:r>
        <w:rPr>
          <w:rFonts w:asciiTheme="minorEastAsia" w:hAnsiTheme="minorEastAsia" w:cstheme="minorEastAsia" w:hint="eastAsia"/>
          <w:kern w:val="0"/>
          <w:sz w:val="28"/>
          <w:szCs w:val="28"/>
        </w:rPr>
        <w:t xml:space="preserve"> </w:t>
      </w:r>
      <w:r>
        <w:rPr>
          <w:rFonts w:asciiTheme="minorEastAsia" w:hAnsiTheme="minorEastAsia" w:cstheme="minorEastAsia" w:hint="eastAsia"/>
          <w:kern w:val="0"/>
          <w:sz w:val="28"/>
          <w:szCs w:val="28"/>
        </w:rPr>
        <w:t>吨以下。</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lang w:eastAsia="zh-CN"/>
        </w:rPr>
        <w:t>容器形式：罐车</w:t>
      </w:r>
      <w:r>
        <w:rPr>
          <w:rFonts w:asciiTheme="minorEastAsia" w:hAnsiTheme="minorEastAsia" w:cstheme="minorEastAsia" w:hint="eastAsia"/>
          <w:kern w:val="0"/>
          <w:sz w:val="28"/>
          <w:szCs w:val="28"/>
          <w:lang w:eastAsia="zh-CN"/>
        </w:rPr>
        <w:t>；</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rPr>
        <w:t>在节假日期间有可能会增加物资储存量。</w:t>
      </w:r>
    </w:p>
    <w:p w:rsidR="00D65A52" w:rsidRDefault="00526D26">
      <w:pPr>
        <w:pStyle w:val="a5"/>
        <w:numPr>
          <w:ilvl w:val="0"/>
          <w:numId w:val="3"/>
        </w:numPr>
        <w:autoSpaceDE w:val="0"/>
        <w:autoSpaceDN w:val="0"/>
        <w:adjustRightInd w:val="0"/>
        <w:snapToGrid w:val="0"/>
        <w:spacing w:line="560" w:lineRule="atLeast"/>
        <w:rPr>
          <w:rFonts w:asciiTheme="minorEastAsia" w:hAnsiTheme="minorEastAsia" w:cstheme="minorEastAsia"/>
          <w:kern w:val="0"/>
          <w:sz w:val="28"/>
          <w:szCs w:val="28"/>
        </w:rPr>
      </w:pPr>
      <w:r>
        <w:rPr>
          <w:rFonts w:asciiTheme="minorEastAsia" w:hAnsiTheme="minorEastAsia" w:cstheme="minorEastAsia" w:hint="eastAsia"/>
          <w:kern w:val="0"/>
          <w:sz w:val="28"/>
          <w:szCs w:val="28"/>
        </w:rPr>
        <w:t>送货地点</w:t>
      </w:r>
      <w:r>
        <w:rPr>
          <w:rFonts w:asciiTheme="minorEastAsia" w:hAnsiTheme="minorEastAsia" w:cstheme="minorEastAsia" w:hint="eastAsia"/>
          <w:kern w:val="0"/>
          <w:sz w:val="28"/>
          <w:szCs w:val="28"/>
        </w:rPr>
        <w:t>:</w:t>
      </w:r>
      <w:r>
        <w:rPr>
          <w:rFonts w:asciiTheme="minorEastAsia" w:hAnsiTheme="minorEastAsia" w:cstheme="minorEastAsia" w:hint="eastAsia"/>
          <w:kern w:val="0"/>
          <w:sz w:val="28"/>
          <w:szCs w:val="28"/>
        </w:rPr>
        <w:t>福建省三明市三元区莘口镇黄砂村渡头坪红滩。</w:t>
      </w:r>
    </w:p>
    <w:p w:rsidR="00D65A52" w:rsidRDefault="00526D2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质量及检测标准</w:t>
      </w:r>
    </w:p>
    <w:p w:rsidR="00D65A52" w:rsidRDefault="00526D26">
      <w:pPr>
        <w:pStyle w:val="a5"/>
        <w:numPr>
          <w:ilvl w:val="0"/>
          <w:numId w:val="4"/>
        </w:numPr>
        <w:adjustRightInd w:val="0"/>
        <w:snapToGrid w:val="0"/>
        <w:spacing w:line="560" w:lineRule="atLeast"/>
        <w:rPr>
          <w:rFonts w:asciiTheme="minorEastAsia" w:hAnsiTheme="minorEastAsia" w:cstheme="minorEastAsia"/>
          <w:bCs/>
          <w:sz w:val="28"/>
          <w:szCs w:val="28"/>
          <w:lang w:eastAsia="zh-CN"/>
        </w:rPr>
      </w:pPr>
      <w:r>
        <w:rPr>
          <w:rFonts w:asciiTheme="minorEastAsia" w:hAnsiTheme="minorEastAsia" w:cstheme="minorEastAsia" w:hint="eastAsia"/>
          <w:bCs/>
          <w:sz w:val="28"/>
          <w:szCs w:val="28"/>
          <w:lang w:eastAsia="zh-CN"/>
        </w:rPr>
        <w:t>水泥</w:t>
      </w:r>
      <w:r>
        <w:rPr>
          <w:rFonts w:asciiTheme="minorEastAsia" w:hAnsiTheme="minorEastAsia" w:cstheme="minorEastAsia" w:hint="eastAsia"/>
          <w:bCs/>
          <w:sz w:val="28"/>
          <w:szCs w:val="28"/>
        </w:rPr>
        <w:t>质量标准</w:t>
      </w:r>
      <w:r>
        <w:rPr>
          <w:rFonts w:asciiTheme="minorEastAsia" w:hAnsiTheme="minorEastAsia" w:cstheme="minorEastAsia" w:hint="eastAsia"/>
          <w:bCs/>
          <w:sz w:val="28"/>
          <w:szCs w:val="28"/>
          <w:lang w:eastAsia="zh-CN"/>
        </w:rPr>
        <w:t>：按照国家及行业标准。</w:t>
      </w:r>
    </w:p>
    <w:p w:rsidR="00D65A52" w:rsidRDefault="00526D26">
      <w:pPr>
        <w:pStyle w:val="Default"/>
        <w:numPr>
          <w:ilvl w:val="0"/>
          <w:numId w:val="4"/>
        </w:numPr>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检测方法采用标准：</w:t>
      </w:r>
    </w:p>
    <w:p w:rsidR="00D65A52" w:rsidRDefault="00526D2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1</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GB16889</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2008</w:t>
      </w:r>
      <w:r>
        <w:rPr>
          <w:rFonts w:asciiTheme="minorEastAsia" w:eastAsiaTheme="minorEastAsia" w:hAnsiTheme="minorEastAsia" w:cstheme="minorEastAsia" w:hint="eastAsia"/>
          <w:bCs/>
          <w:sz w:val="28"/>
          <w:szCs w:val="28"/>
          <w:lang w:eastAsia="zh-CN"/>
        </w:rPr>
        <w:t>《生活垃圾填埋场污染控制标准》</w:t>
      </w:r>
      <w:r>
        <w:rPr>
          <w:rFonts w:asciiTheme="minorEastAsia" w:eastAsiaTheme="minorEastAsia" w:hAnsiTheme="minorEastAsia" w:cstheme="minorEastAsia" w:hint="eastAsia"/>
          <w:sz w:val="28"/>
          <w:szCs w:val="28"/>
          <w:lang w:eastAsia="zh-CN"/>
        </w:rPr>
        <w:t>若有新版本发布采用最新版本。</w:t>
      </w:r>
    </w:p>
    <w:p w:rsidR="00D65A52" w:rsidRDefault="00526D26">
      <w:pPr>
        <w:pStyle w:val="Default"/>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2</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 xml:space="preserve"> HJ/T300</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2007</w:t>
      </w:r>
      <w:r>
        <w:rPr>
          <w:rFonts w:asciiTheme="minorEastAsia" w:eastAsiaTheme="minorEastAsia" w:hAnsiTheme="minorEastAsia" w:cstheme="minorEastAsia" w:hint="eastAsia"/>
          <w:bCs/>
          <w:sz w:val="28"/>
          <w:szCs w:val="28"/>
          <w:lang w:eastAsia="zh-CN"/>
        </w:rPr>
        <w:t>《固体废物</w:t>
      </w:r>
      <w:r>
        <w:rPr>
          <w:rFonts w:asciiTheme="minorEastAsia" w:eastAsiaTheme="minorEastAsia" w:hAnsiTheme="minorEastAsia" w:cstheme="minorEastAsia" w:hint="eastAsia"/>
          <w:bCs/>
          <w:sz w:val="28"/>
          <w:szCs w:val="28"/>
          <w:lang w:eastAsia="zh-CN"/>
        </w:rPr>
        <w:t xml:space="preserve"> </w:t>
      </w:r>
      <w:r>
        <w:rPr>
          <w:rFonts w:asciiTheme="minorEastAsia" w:eastAsiaTheme="minorEastAsia" w:hAnsiTheme="minorEastAsia" w:cstheme="minorEastAsia" w:hint="eastAsia"/>
          <w:bCs/>
          <w:sz w:val="28"/>
          <w:szCs w:val="28"/>
          <w:lang w:eastAsia="zh-CN"/>
        </w:rPr>
        <w:t>浸出毒性浸出方法</w:t>
      </w:r>
      <w:r>
        <w:rPr>
          <w:rFonts w:asciiTheme="minorEastAsia" w:eastAsiaTheme="minorEastAsia" w:hAnsiTheme="minorEastAsia" w:cstheme="minorEastAsia" w:hint="eastAsia"/>
          <w:bCs/>
          <w:sz w:val="28"/>
          <w:szCs w:val="28"/>
          <w:lang w:eastAsia="zh-CN"/>
        </w:rPr>
        <w:t xml:space="preserve"> </w:t>
      </w:r>
      <w:r>
        <w:rPr>
          <w:rFonts w:asciiTheme="minorEastAsia" w:eastAsiaTheme="minorEastAsia" w:hAnsiTheme="minorEastAsia" w:cstheme="minorEastAsia" w:hint="eastAsia"/>
          <w:bCs/>
          <w:sz w:val="28"/>
          <w:szCs w:val="28"/>
          <w:lang w:eastAsia="zh-CN"/>
        </w:rPr>
        <w:t>醋酸缓冲溶液法》</w:t>
      </w:r>
      <w:r>
        <w:rPr>
          <w:rFonts w:asciiTheme="minorEastAsia" w:eastAsiaTheme="minorEastAsia" w:hAnsiTheme="minorEastAsia" w:cstheme="minorEastAsia" w:hint="eastAsia"/>
          <w:sz w:val="28"/>
          <w:szCs w:val="28"/>
          <w:lang w:eastAsia="zh-CN"/>
        </w:rPr>
        <w:t>若有新版本发布采用最新版本。</w:t>
      </w:r>
    </w:p>
    <w:p w:rsidR="00D65A52" w:rsidRDefault="00526D26">
      <w:pPr>
        <w:pStyle w:val="Default"/>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3</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CJJ/T212</w:t>
      </w:r>
      <w:r>
        <w:rPr>
          <w:rFonts w:asciiTheme="minorEastAsia" w:eastAsiaTheme="minorEastAsia" w:hAnsiTheme="minorEastAsia" w:cstheme="minorEastAsia" w:hint="eastAsia"/>
          <w:bCs/>
          <w:sz w:val="28"/>
          <w:szCs w:val="28"/>
          <w:lang w:eastAsia="zh-CN"/>
        </w:rPr>
        <w:t>－</w:t>
      </w:r>
      <w:r>
        <w:rPr>
          <w:rFonts w:asciiTheme="minorEastAsia" w:eastAsiaTheme="minorEastAsia" w:hAnsiTheme="minorEastAsia" w:cstheme="minorEastAsia" w:hint="eastAsia"/>
          <w:bCs/>
          <w:sz w:val="28"/>
          <w:szCs w:val="28"/>
          <w:lang w:eastAsia="zh-CN"/>
        </w:rPr>
        <w:t>2015</w:t>
      </w:r>
      <w:r>
        <w:rPr>
          <w:rFonts w:asciiTheme="minorEastAsia" w:eastAsiaTheme="minorEastAsia" w:hAnsiTheme="minorEastAsia" w:cstheme="minorEastAsia" w:hint="eastAsia"/>
          <w:bCs/>
          <w:sz w:val="28"/>
          <w:szCs w:val="28"/>
          <w:lang w:eastAsia="zh-CN"/>
        </w:rPr>
        <w:t>《生活垃圾焚烧厂运行监管标准》</w:t>
      </w:r>
      <w:r>
        <w:rPr>
          <w:rFonts w:asciiTheme="minorEastAsia" w:eastAsiaTheme="minorEastAsia" w:hAnsiTheme="minorEastAsia" w:cstheme="minorEastAsia" w:hint="eastAsia"/>
          <w:sz w:val="28"/>
          <w:szCs w:val="28"/>
          <w:lang w:eastAsia="zh-CN"/>
        </w:rPr>
        <w:t>若有新版本发布采用最新版本。</w:t>
      </w:r>
    </w:p>
    <w:p w:rsidR="00D65A52" w:rsidRDefault="00CF2B44">
      <w:pPr>
        <w:numPr>
          <w:ilvl w:val="0"/>
          <w:numId w:val="4"/>
        </w:numPr>
        <w:adjustRightInd w:val="0"/>
        <w:snapToGrid w:val="0"/>
        <w:spacing w:line="560" w:lineRule="atLeast"/>
        <w:rPr>
          <w:rFonts w:asciiTheme="minorEastAsia" w:hAnsiTheme="minorEastAsia" w:cstheme="minorEastAsia"/>
          <w:sz w:val="28"/>
          <w:szCs w:val="28"/>
          <w:lang w:eastAsia="zh-CN"/>
        </w:rPr>
      </w:pPr>
      <w:r w:rsidRPr="005D4C3C">
        <w:rPr>
          <w:rFonts w:asciiTheme="minorEastAsia" w:hAnsiTheme="minorEastAsia" w:cstheme="minorEastAsia" w:hint="eastAsia"/>
          <w:color w:val="FF0000"/>
          <w:sz w:val="28"/>
          <w:szCs w:val="28"/>
          <w:lang w:eastAsia="zh-CN"/>
        </w:rPr>
        <w:t>4</w:t>
      </w:r>
      <w:r w:rsidRPr="005D4C3C">
        <w:rPr>
          <w:rFonts w:asciiTheme="minorEastAsia" w:hAnsiTheme="minorEastAsia" w:cstheme="minorEastAsia"/>
          <w:color w:val="FF0000"/>
          <w:sz w:val="28"/>
          <w:szCs w:val="28"/>
          <w:lang w:eastAsia="zh-CN"/>
        </w:rPr>
        <w:t>25</w:t>
      </w:r>
      <w:r w:rsidR="005D4C3C" w:rsidRPr="005D4C3C">
        <w:rPr>
          <w:rFonts w:asciiTheme="minorEastAsia" w:hAnsiTheme="minorEastAsia" w:cstheme="minorEastAsia" w:hint="eastAsia"/>
          <w:color w:val="FF0000"/>
          <w:sz w:val="28"/>
          <w:szCs w:val="28"/>
          <w:lang w:eastAsia="zh-CN"/>
        </w:rPr>
        <w:t>普通硅酸盐</w:t>
      </w:r>
      <w:r w:rsidR="00526D26" w:rsidRPr="005D4C3C">
        <w:rPr>
          <w:rFonts w:asciiTheme="minorEastAsia" w:hAnsiTheme="minorEastAsia" w:cstheme="minorEastAsia" w:hint="eastAsia"/>
          <w:color w:val="FF0000"/>
          <w:sz w:val="28"/>
          <w:szCs w:val="28"/>
          <w:lang w:eastAsia="zh-CN"/>
        </w:rPr>
        <w:t>水泥</w:t>
      </w:r>
      <w:r w:rsidR="00526D26" w:rsidRPr="005D4C3C">
        <w:rPr>
          <w:rFonts w:asciiTheme="minorEastAsia" w:hAnsiTheme="minorEastAsia" w:cstheme="minorEastAsia" w:hint="eastAsia"/>
          <w:color w:val="FF0000"/>
          <w:sz w:val="28"/>
          <w:szCs w:val="28"/>
        </w:rPr>
        <w:t>质量标准</w:t>
      </w:r>
      <w:r w:rsidR="00526D26">
        <w:rPr>
          <w:rFonts w:asciiTheme="minorEastAsia" w:hAnsiTheme="minorEastAsia" w:cstheme="minorEastAsia" w:hint="eastAsia"/>
          <w:sz w:val="28"/>
          <w:szCs w:val="28"/>
          <w:lang w:eastAsia="zh-CN"/>
        </w:rPr>
        <w:t>：</w:t>
      </w:r>
    </w:p>
    <w:p w:rsidR="00D65A52" w:rsidRDefault="00526D26">
      <w:pPr>
        <w:pStyle w:val="a5"/>
        <w:adjustRightInd w:val="0"/>
        <w:snapToGrid w:val="0"/>
        <w:spacing w:line="560" w:lineRule="atLeast"/>
        <w:ind w:leftChars="0" w:left="0" w:firstLineChars="200" w:firstLine="560"/>
        <w:rPr>
          <w:rFonts w:asciiTheme="minorEastAsia" w:hAnsiTheme="minorEastAsia" w:cstheme="minorEastAsia"/>
          <w:bCs/>
          <w:sz w:val="28"/>
          <w:szCs w:val="28"/>
          <w:lang w:eastAsia="zh-CN"/>
        </w:rPr>
      </w:pPr>
      <w:bookmarkStart w:id="0" w:name="_Toc260046652"/>
      <w:bookmarkStart w:id="1" w:name="_Toc260046532"/>
      <w:r>
        <w:rPr>
          <w:rFonts w:asciiTheme="minorEastAsia" w:hAnsiTheme="minorEastAsia" w:cstheme="minorEastAsia" w:hint="eastAsia"/>
          <w:bCs/>
          <w:sz w:val="28"/>
          <w:szCs w:val="28"/>
          <w:lang w:eastAsia="zh-CN"/>
        </w:rPr>
        <w:t>参照</w:t>
      </w:r>
      <w:bookmarkEnd w:id="0"/>
      <w:bookmarkEnd w:id="1"/>
      <w:r>
        <w:rPr>
          <w:rFonts w:asciiTheme="minorEastAsia" w:hAnsiTheme="minorEastAsia" w:cstheme="minorEastAsia" w:hint="eastAsia"/>
          <w:bCs/>
          <w:sz w:val="28"/>
          <w:szCs w:val="28"/>
          <w:lang w:eastAsia="zh-CN"/>
        </w:rPr>
        <w:t>《通用硅酸盐水泥》（</w:t>
      </w:r>
      <w:r w:rsidRPr="00827446">
        <w:rPr>
          <w:rFonts w:asciiTheme="minorEastAsia" w:hAnsiTheme="minorEastAsia" w:cstheme="minorEastAsia" w:hint="eastAsia"/>
          <w:bCs/>
          <w:color w:val="FF0000"/>
          <w:sz w:val="28"/>
          <w:szCs w:val="28"/>
          <w:lang w:eastAsia="zh-CN"/>
        </w:rPr>
        <w:t>GB 175-20</w:t>
      </w:r>
      <w:r w:rsidR="00CF2B44" w:rsidRPr="00827446">
        <w:rPr>
          <w:rFonts w:asciiTheme="minorEastAsia" w:hAnsiTheme="minorEastAsia" w:cstheme="minorEastAsia"/>
          <w:bCs/>
          <w:color w:val="FF0000"/>
          <w:sz w:val="28"/>
          <w:szCs w:val="28"/>
          <w:lang w:eastAsia="zh-CN"/>
        </w:rPr>
        <w:t>23</w:t>
      </w:r>
      <w:r>
        <w:rPr>
          <w:rFonts w:asciiTheme="minorEastAsia" w:hAnsiTheme="minorEastAsia" w:cstheme="minorEastAsia" w:hint="eastAsia"/>
          <w:bCs/>
          <w:sz w:val="28"/>
          <w:szCs w:val="28"/>
          <w:lang w:eastAsia="zh-CN"/>
        </w:rPr>
        <w:t xml:space="preserve"> </w:t>
      </w:r>
      <w:r>
        <w:rPr>
          <w:rFonts w:asciiTheme="minorEastAsia" w:hAnsiTheme="minorEastAsia" w:cstheme="minorEastAsia" w:hint="eastAsia"/>
          <w:bCs/>
          <w:sz w:val="28"/>
          <w:szCs w:val="28"/>
          <w:lang w:eastAsia="zh-CN"/>
        </w:rPr>
        <w:t>）</w:t>
      </w:r>
    </w:p>
    <w:p w:rsidR="00D65A52" w:rsidRDefault="00526D26">
      <w:pPr>
        <w:pStyle w:val="a5"/>
        <w:adjustRightInd w:val="0"/>
        <w:snapToGrid w:val="0"/>
        <w:spacing w:line="560" w:lineRule="atLeast"/>
        <w:ind w:leftChars="0" w:left="0"/>
        <w:rPr>
          <w:rFonts w:asciiTheme="minorEastAsia" w:hAnsiTheme="minorEastAsia" w:cstheme="minorEastAsia"/>
          <w:bCs/>
          <w:sz w:val="28"/>
          <w:szCs w:val="28"/>
          <w:lang w:eastAsia="zh-CN"/>
        </w:rPr>
      </w:pPr>
      <w:r>
        <w:rPr>
          <w:rFonts w:asciiTheme="minorEastAsia" w:hAnsiTheme="minorEastAsia" w:cstheme="minorEastAsia" w:hint="eastAsia"/>
          <w:bCs/>
          <w:sz w:val="28"/>
          <w:szCs w:val="28"/>
          <w:lang w:eastAsia="zh-CN"/>
        </w:rPr>
        <w:t>技术指标</w:t>
      </w:r>
    </w:p>
    <w:tbl>
      <w:tblPr>
        <w:tblW w:w="4900" w:type="pct"/>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90"/>
        <w:gridCol w:w="2088"/>
        <w:gridCol w:w="5321"/>
      </w:tblGrid>
      <w:tr w:rsidR="00D65A52">
        <w:trPr>
          <w:jc w:val="center"/>
        </w:trPr>
        <w:tc>
          <w:tcPr>
            <w:tcW w:w="790" w:type="dxa"/>
            <w:tcBorders>
              <w:top w:val="single" w:sz="8" w:space="0" w:color="auto"/>
              <w:left w:val="single" w:sz="8" w:space="0" w:color="auto"/>
              <w:bottom w:val="single" w:sz="8" w:space="0" w:color="auto"/>
              <w:right w:val="single" w:sz="8"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序号</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项目</w:t>
            </w:r>
            <w:r>
              <w:rPr>
                <w:rFonts w:asciiTheme="minorEastAsia" w:hAnsiTheme="minorEastAsia" w:cstheme="minorEastAsia" w:hint="eastAsia"/>
                <w:kern w:val="0"/>
                <w:sz w:val="28"/>
                <w:szCs w:val="28"/>
              </w:rPr>
              <w:t xml:space="preserve"> </w:t>
            </w:r>
          </w:p>
        </w:tc>
        <w:tc>
          <w:tcPr>
            <w:tcW w:w="5321"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典型技术参数</w:t>
            </w:r>
            <w:r>
              <w:rPr>
                <w:rFonts w:asciiTheme="minorEastAsia" w:hAnsiTheme="minorEastAsia" w:cstheme="minorEastAsia" w:hint="eastAsia"/>
                <w:kern w:val="0"/>
                <w:sz w:val="28"/>
                <w:szCs w:val="28"/>
              </w:rPr>
              <w:t xml:space="preserve"> </w:t>
            </w:r>
          </w:p>
        </w:tc>
      </w:tr>
      <w:tr w:rsidR="00D65A52">
        <w:trPr>
          <w:jc w:val="center"/>
        </w:trPr>
        <w:tc>
          <w:tcPr>
            <w:tcW w:w="790"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1</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827446">
            <w:pPr>
              <w:widowControl/>
              <w:adjustRightInd w:val="0"/>
              <w:snapToGrid w:val="0"/>
              <w:spacing w:line="560" w:lineRule="atLeast"/>
              <w:jc w:val="center"/>
              <w:rPr>
                <w:rFonts w:asciiTheme="minorEastAsia" w:hAnsiTheme="minorEastAsia" w:cstheme="minorEastAsia"/>
                <w:kern w:val="0"/>
                <w:sz w:val="28"/>
                <w:szCs w:val="28"/>
                <w:lang w:eastAsia="zh-CN"/>
              </w:rPr>
            </w:pPr>
            <w:r>
              <w:rPr>
                <w:rFonts w:asciiTheme="minorEastAsia" w:hAnsiTheme="minorEastAsia" w:cstheme="minorEastAsia" w:hint="eastAsia"/>
                <w:kern w:val="0"/>
                <w:sz w:val="28"/>
                <w:szCs w:val="28"/>
                <w:lang w:eastAsia="zh-CN"/>
              </w:rPr>
              <w:t>比表面积</w:t>
            </w:r>
          </w:p>
        </w:tc>
        <w:tc>
          <w:tcPr>
            <w:tcW w:w="5321"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82744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kern w:val="0"/>
                <w:sz w:val="28"/>
                <w:szCs w:val="28"/>
                <w:lang w:eastAsia="zh-CN"/>
              </w:rPr>
              <w:t>3</w:t>
            </w:r>
            <w:r>
              <w:rPr>
                <w:rFonts w:asciiTheme="minorEastAsia" w:hAnsiTheme="minorEastAsia" w:cstheme="minorEastAsia"/>
                <w:kern w:val="0"/>
                <w:sz w:val="28"/>
                <w:szCs w:val="28"/>
                <w:lang w:eastAsia="zh-CN"/>
              </w:rPr>
              <w:t>00</w:t>
            </w:r>
            <w:r>
              <w:rPr>
                <w:rFonts w:asciiTheme="minorEastAsia" w:hAnsiTheme="minorEastAsia" w:cstheme="minorEastAsia" w:hint="eastAsia"/>
                <w:kern w:val="0"/>
                <w:sz w:val="28"/>
                <w:szCs w:val="28"/>
                <w:lang w:eastAsia="zh-CN"/>
              </w:rPr>
              <w:t>—4</w:t>
            </w:r>
            <w:r>
              <w:rPr>
                <w:rFonts w:asciiTheme="minorEastAsia" w:hAnsiTheme="minorEastAsia" w:cstheme="minorEastAsia"/>
                <w:kern w:val="0"/>
                <w:sz w:val="28"/>
                <w:szCs w:val="28"/>
                <w:lang w:eastAsia="zh-CN"/>
              </w:rPr>
              <w:t>00m</w:t>
            </w:r>
            <w:r w:rsidRPr="00827446">
              <w:rPr>
                <w:rFonts w:asciiTheme="minorEastAsia" w:hAnsiTheme="minorEastAsia" w:cstheme="minorEastAsia"/>
                <w:kern w:val="0"/>
                <w:sz w:val="28"/>
                <w:szCs w:val="28"/>
                <w:vertAlign w:val="superscript"/>
                <w:lang w:eastAsia="zh-CN"/>
              </w:rPr>
              <w:t>2</w:t>
            </w:r>
            <w:r>
              <w:rPr>
                <w:rFonts w:asciiTheme="minorEastAsia" w:hAnsiTheme="minorEastAsia" w:cstheme="minorEastAsia"/>
                <w:kern w:val="0"/>
                <w:sz w:val="28"/>
                <w:szCs w:val="28"/>
                <w:lang w:eastAsia="zh-CN"/>
              </w:rPr>
              <w:t>/kg</w:t>
            </w:r>
            <w:r w:rsidR="00526D26">
              <w:rPr>
                <w:rFonts w:asciiTheme="minorEastAsia" w:hAnsiTheme="minorEastAsia" w:cstheme="minorEastAsia" w:hint="eastAsia"/>
                <w:kern w:val="0"/>
                <w:sz w:val="28"/>
                <w:szCs w:val="28"/>
                <w:lang w:eastAsia="zh-CN"/>
              </w:rPr>
              <w:t>≤</w:t>
            </w:r>
            <w:r w:rsidR="00526D26">
              <w:rPr>
                <w:rFonts w:asciiTheme="minorEastAsia" w:hAnsiTheme="minorEastAsia" w:cstheme="minorEastAsia" w:hint="eastAsia"/>
                <w:kern w:val="0"/>
                <w:sz w:val="28"/>
                <w:szCs w:val="28"/>
                <w:lang w:eastAsia="zh-CN"/>
              </w:rPr>
              <w:t>10</w:t>
            </w:r>
            <w:r w:rsidR="00526D26">
              <w:rPr>
                <w:rFonts w:asciiTheme="minorEastAsia" w:hAnsiTheme="minorEastAsia" w:cstheme="minorEastAsia" w:hint="eastAsia"/>
                <w:kern w:val="0"/>
                <w:sz w:val="28"/>
                <w:szCs w:val="28"/>
              </w:rPr>
              <w:t xml:space="preserve"> </w:t>
            </w:r>
          </w:p>
        </w:tc>
      </w:tr>
      <w:tr w:rsidR="00D65A52">
        <w:trPr>
          <w:jc w:val="center"/>
        </w:trPr>
        <w:tc>
          <w:tcPr>
            <w:tcW w:w="790"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2</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lang w:eastAsia="zh-CN"/>
              </w:rPr>
            </w:pPr>
            <w:r>
              <w:rPr>
                <w:rFonts w:asciiTheme="minorEastAsia" w:hAnsiTheme="minorEastAsia" w:cstheme="minorEastAsia" w:hint="eastAsia"/>
                <w:kern w:val="0"/>
                <w:sz w:val="28"/>
                <w:szCs w:val="28"/>
                <w:lang w:eastAsia="zh-CN"/>
              </w:rPr>
              <w:t>三氧化硫（</w:t>
            </w: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w:t>
            </w:r>
          </w:p>
        </w:tc>
        <w:tc>
          <w:tcPr>
            <w:tcW w:w="5321"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lang w:eastAsia="zh-CN"/>
              </w:rPr>
            </w:pPr>
            <w:r>
              <w:rPr>
                <w:rFonts w:asciiTheme="minorEastAsia" w:hAnsiTheme="minorEastAsia" w:cstheme="minorEastAsia" w:hint="eastAsia"/>
                <w:color w:val="000000"/>
                <w:kern w:val="0"/>
                <w:sz w:val="28"/>
                <w:szCs w:val="28"/>
              </w:rPr>
              <w:t>≤</w:t>
            </w:r>
            <w:r>
              <w:rPr>
                <w:rFonts w:asciiTheme="minorEastAsia" w:hAnsiTheme="minorEastAsia" w:cstheme="minorEastAsia" w:hint="eastAsia"/>
                <w:color w:val="000000"/>
                <w:kern w:val="0"/>
                <w:sz w:val="28"/>
                <w:szCs w:val="28"/>
                <w:lang w:eastAsia="zh-CN"/>
              </w:rPr>
              <w:t>3.5</w:t>
            </w:r>
          </w:p>
        </w:tc>
      </w:tr>
      <w:tr w:rsidR="00D65A52">
        <w:trPr>
          <w:jc w:val="center"/>
        </w:trPr>
        <w:tc>
          <w:tcPr>
            <w:tcW w:w="790"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3</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lang w:eastAsia="zh-CN"/>
              </w:rPr>
              <w:t>氧化镁</w:t>
            </w:r>
            <w:r>
              <w:rPr>
                <w:rFonts w:asciiTheme="minorEastAsia" w:hAnsiTheme="minorEastAsia" w:cstheme="minorEastAsia" w:hint="eastAsia"/>
                <w:kern w:val="0"/>
                <w:sz w:val="28"/>
                <w:szCs w:val="28"/>
              </w:rPr>
              <w:t xml:space="preserve"> </w:t>
            </w: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w:t>
            </w:r>
          </w:p>
        </w:tc>
        <w:tc>
          <w:tcPr>
            <w:tcW w:w="5321"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w:t>
            </w:r>
            <w:r w:rsidR="005D4C3C">
              <w:rPr>
                <w:rFonts w:asciiTheme="minorEastAsia" w:hAnsiTheme="minorEastAsia" w:cstheme="minorEastAsia"/>
                <w:color w:val="000000"/>
                <w:kern w:val="0"/>
                <w:sz w:val="28"/>
                <w:szCs w:val="28"/>
                <w:lang w:eastAsia="zh-CN"/>
              </w:rPr>
              <w:t>5</w:t>
            </w:r>
            <w:r>
              <w:rPr>
                <w:rFonts w:asciiTheme="minorEastAsia" w:hAnsiTheme="minorEastAsia" w:cstheme="minorEastAsia" w:hint="eastAsia"/>
                <w:color w:val="000000"/>
                <w:kern w:val="0"/>
                <w:sz w:val="28"/>
                <w:szCs w:val="28"/>
                <w:lang w:eastAsia="zh-CN"/>
              </w:rPr>
              <w:t>.0</w:t>
            </w:r>
            <w:r>
              <w:rPr>
                <w:rFonts w:asciiTheme="minorEastAsia" w:hAnsiTheme="minorEastAsia" w:cstheme="minorEastAsia" w:hint="eastAsia"/>
                <w:kern w:val="0"/>
                <w:sz w:val="28"/>
                <w:szCs w:val="28"/>
              </w:rPr>
              <w:t xml:space="preserve"> </w:t>
            </w:r>
          </w:p>
        </w:tc>
      </w:tr>
      <w:tr w:rsidR="00D65A52">
        <w:trPr>
          <w:jc w:val="center"/>
        </w:trPr>
        <w:tc>
          <w:tcPr>
            <w:tcW w:w="790"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4</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氯离子</w:t>
            </w: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w:t>
            </w:r>
          </w:p>
        </w:tc>
        <w:tc>
          <w:tcPr>
            <w:tcW w:w="5321" w:type="dxa"/>
            <w:tcBorders>
              <w:top w:val="outset" w:sz="6" w:space="0" w:color="auto"/>
              <w:left w:val="outset" w:sz="6" w:space="0" w:color="auto"/>
              <w:bottom w:val="single" w:sz="6" w:space="0" w:color="666666"/>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w:t>
            </w:r>
            <w:r>
              <w:rPr>
                <w:rFonts w:asciiTheme="minorEastAsia" w:hAnsiTheme="minorEastAsia" w:cstheme="minorEastAsia" w:hint="eastAsia"/>
                <w:color w:val="000000"/>
                <w:kern w:val="0"/>
                <w:sz w:val="28"/>
                <w:szCs w:val="28"/>
                <w:lang w:eastAsia="zh-CN"/>
              </w:rPr>
              <w:t>0.06</w:t>
            </w:r>
          </w:p>
        </w:tc>
      </w:tr>
      <w:tr w:rsidR="00D65A52">
        <w:trPr>
          <w:jc w:val="center"/>
        </w:trPr>
        <w:tc>
          <w:tcPr>
            <w:tcW w:w="7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color w:val="000000"/>
                <w:kern w:val="0"/>
                <w:sz w:val="28"/>
                <w:szCs w:val="28"/>
              </w:rPr>
              <w:t>5</w:t>
            </w:r>
            <w:r>
              <w:rPr>
                <w:rFonts w:asciiTheme="minorEastAsia" w:hAnsiTheme="minorEastAsia" w:cstheme="minorEastAsia" w:hint="eastAsia"/>
                <w:kern w:val="0"/>
                <w:sz w:val="28"/>
                <w:szCs w:val="28"/>
              </w:rPr>
              <w:t xml:space="preserve"> </w:t>
            </w:r>
          </w:p>
        </w:tc>
        <w:tc>
          <w:tcPr>
            <w:tcW w:w="20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lang w:eastAsia="zh-CN"/>
              </w:rPr>
            </w:pPr>
            <w:r>
              <w:rPr>
                <w:rFonts w:asciiTheme="minorEastAsia" w:hAnsiTheme="minorEastAsia" w:cstheme="minorEastAsia" w:hint="eastAsia"/>
                <w:color w:val="000000"/>
                <w:kern w:val="0"/>
                <w:sz w:val="28"/>
                <w:szCs w:val="28"/>
                <w:lang w:eastAsia="zh-CN"/>
              </w:rPr>
              <w:t>水溶性六价铬（</w:t>
            </w:r>
            <w:r>
              <w:rPr>
                <w:rFonts w:asciiTheme="minorEastAsia" w:hAnsiTheme="minorEastAsia" w:cstheme="minorEastAsia" w:hint="eastAsia"/>
                <w:color w:val="000000"/>
                <w:kern w:val="0"/>
                <w:sz w:val="28"/>
                <w:szCs w:val="28"/>
                <w:lang w:eastAsia="zh-CN"/>
              </w:rPr>
              <w:t>mg/kg</w:t>
            </w:r>
            <w:r>
              <w:rPr>
                <w:rFonts w:asciiTheme="minorEastAsia" w:hAnsiTheme="minorEastAsia" w:cstheme="minorEastAsia" w:hint="eastAsia"/>
                <w:color w:val="000000"/>
                <w:kern w:val="0"/>
                <w:sz w:val="28"/>
                <w:szCs w:val="28"/>
                <w:lang w:eastAsia="zh-CN"/>
              </w:rPr>
              <w:t>）</w:t>
            </w:r>
          </w:p>
        </w:tc>
        <w:tc>
          <w:tcPr>
            <w:tcW w:w="53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D65A52" w:rsidRDefault="00526D26">
            <w:pPr>
              <w:widowControl/>
              <w:adjustRightInd w:val="0"/>
              <w:snapToGrid w:val="0"/>
              <w:spacing w:line="560" w:lineRule="atLeast"/>
              <w:jc w:val="center"/>
              <w:rPr>
                <w:rFonts w:asciiTheme="minorEastAsia" w:hAnsiTheme="minorEastAsia" w:cstheme="minorEastAsia"/>
                <w:kern w:val="0"/>
                <w:sz w:val="28"/>
                <w:szCs w:val="28"/>
              </w:rPr>
            </w:pPr>
            <w:r>
              <w:rPr>
                <w:rFonts w:asciiTheme="minorEastAsia" w:hAnsiTheme="minorEastAsia" w:cstheme="minorEastAsia" w:hint="eastAsia"/>
                <w:kern w:val="0"/>
                <w:sz w:val="28"/>
                <w:szCs w:val="28"/>
                <w:lang w:eastAsia="zh-CN"/>
              </w:rPr>
              <w:t>≤</w:t>
            </w:r>
            <w:r>
              <w:rPr>
                <w:rFonts w:asciiTheme="minorEastAsia" w:hAnsiTheme="minorEastAsia" w:cstheme="minorEastAsia" w:hint="eastAsia"/>
                <w:kern w:val="0"/>
                <w:sz w:val="28"/>
                <w:szCs w:val="28"/>
                <w:lang w:eastAsia="zh-CN"/>
              </w:rPr>
              <w:t>10</w:t>
            </w:r>
            <w:r>
              <w:rPr>
                <w:rFonts w:asciiTheme="minorEastAsia" w:hAnsiTheme="minorEastAsia" w:cstheme="minorEastAsia" w:hint="eastAsia"/>
                <w:kern w:val="0"/>
                <w:sz w:val="28"/>
                <w:szCs w:val="28"/>
              </w:rPr>
              <w:t xml:space="preserve"> </w:t>
            </w:r>
            <w:r w:rsidR="00827446">
              <w:rPr>
                <w:rFonts w:asciiTheme="minorEastAsia" w:hAnsiTheme="minorEastAsia" w:cstheme="minorEastAsia" w:hint="eastAsia"/>
                <w:kern w:val="0"/>
                <w:sz w:val="28"/>
                <w:szCs w:val="28"/>
              </w:rPr>
              <w:t>（</w:t>
            </w:r>
            <w:r w:rsidR="00827446">
              <w:rPr>
                <w:rFonts w:asciiTheme="minorEastAsia" w:hAnsiTheme="minorEastAsia" w:cstheme="minorEastAsia" w:hint="eastAsia"/>
                <w:kern w:val="0"/>
                <w:sz w:val="28"/>
                <w:szCs w:val="28"/>
                <w:lang w:eastAsia="zh-CN"/>
              </w:rPr>
              <w:t>GB</w:t>
            </w:r>
            <w:r w:rsidR="00827446">
              <w:rPr>
                <w:rFonts w:asciiTheme="minorEastAsia" w:hAnsiTheme="minorEastAsia" w:cstheme="minorEastAsia"/>
                <w:kern w:val="0"/>
                <w:sz w:val="28"/>
                <w:szCs w:val="28"/>
              </w:rPr>
              <w:t>31893-2015</w:t>
            </w:r>
            <w:r w:rsidR="00827446">
              <w:rPr>
                <w:rFonts w:asciiTheme="minorEastAsia" w:hAnsiTheme="minorEastAsia" w:cstheme="minorEastAsia" w:hint="eastAsia"/>
                <w:kern w:val="0"/>
                <w:sz w:val="28"/>
                <w:szCs w:val="28"/>
              </w:rPr>
              <w:t>）</w:t>
            </w:r>
          </w:p>
        </w:tc>
      </w:tr>
      <w:tr w:rsidR="00827446">
        <w:trPr>
          <w:jc w:val="center"/>
        </w:trPr>
        <w:tc>
          <w:tcPr>
            <w:tcW w:w="7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827446" w:rsidRDefault="00827446">
            <w:pPr>
              <w:widowControl/>
              <w:adjustRightInd w:val="0"/>
              <w:snapToGrid w:val="0"/>
              <w:spacing w:line="560" w:lineRule="atLeast"/>
              <w:jc w:val="center"/>
              <w:rPr>
                <w:rFonts w:asciiTheme="minorEastAsia" w:hAnsiTheme="minorEastAsia" w:cstheme="minorEastAsia" w:hint="eastAsia"/>
                <w:color w:val="000000"/>
                <w:kern w:val="0"/>
                <w:sz w:val="28"/>
                <w:szCs w:val="28"/>
                <w:lang w:eastAsia="zh-CN"/>
              </w:rPr>
            </w:pPr>
            <w:r>
              <w:rPr>
                <w:rFonts w:asciiTheme="minorEastAsia" w:hAnsiTheme="minorEastAsia" w:cstheme="minorEastAsia" w:hint="eastAsia"/>
                <w:color w:val="000000"/>
                <w:kern w:val="0"/>
                <w:sz w:val="28"/>
                <w:szCs w:val="28"/>
                <w:lang w:eastAsia="zh-CN"/>
              </w:rPr>
              <w:lastRenderedPageBreak/>
              <w:t>6</w:t>
            </w:r>
          </w:p>
        </w:tc>
        <w:tc>
          <w:tcPr>
            <w:tcW w:w="2088"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827446" w:rsidRDefault="00827446">
            <w:pPr>
              <w:widowControl/>
              <w:adjustRightInd w:val="0"/>
              <w:snapToGrid w:val="0"/>
              <w:spacing w:line="560" w:lineRule="atLeast"/>
              <w:jc w:val="center"/>
              <w:rPr>
                <w:rFonts w:asciiTheme="minorEastAsia" w:hAnsiTheme="minorEastAsia" w:cstheme="minorEastAsia" w:hint="eastAsia"/>
                <w:color w:val="000000"/>
                <w:kern w:val="0"/>
                <w:sz w:val="28"/>
                <w:szCs w:val="28"/>
                <w:lang w:eastAsia="zh-CN"/>
              </w:rPr>
            </w:pPr>
            <w:r>
              <w:rPr>
                <w:rFonts w:asciiTheme="minorEastAsia" w:hAnsiTheme="minorEastAsia" w:cstheme="minorEastAsia" w:hint="eastAsia"/>
                <w:color w:val="000000"/>
                <w:kern w:val="0"/>
                <w:sz w:val="28"/>
                <w:szCs w:val="28"/>
                <w:lang w:eastAsia="zh-CN"/>
              </w:rPr>
              <w:t>细度</w:t>
            </w:r>
          </w:p>
        </w:tc>
        <w:tc>
          <w:tcPr>
            <w:tcW w:w="5321"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tcPr>
          <w:p w:rsidR="00827446" w:rsidRDefault="00827446">
            <w:pPr>
              <w:widowControl/>
              <w:adjustRightInd w:val="0"/>
              <w:snapToGrid w:val="0"/>
              <w:spacing w:line="560" w:lineRule="atLeast"/>
              <w:jc w:val="center"/>
              <w:rPr>
                <w:rFonts w:asciiTheme="minorEastAsia" w:hAnsiTheme="minorEastAsia" w:cstheme="minorEastAsia" w:hint="eastAsia"/>
                <w:kern w:val="0"/>
                <w:sz w:val="28"/>
                <w:szCs w:val="28"/>
                <w:lang w:eastAsia="zh-CN"/>
              </w:rPr>
            </w:pPr>
            <w:r>
              <w:rPr>
                <w:rFonts w:asciiTheme="minorEastAsia" w:hAnsiTheme="minorEastAsia" w:cstheme="minorEastAsia"/>
                <w:kern w:val="0"/>
                <w:sz w:val="28"/>
                <w:szCs w:val="28"/>
                <w:lang w:eastAsia="zh-CN"/>
              </w:rPr>
              <w:t>(</w:t>
            </w:r>
            <w:r>
              <w:rPr>
                <w:rFonts w:asciiTheme="minorEastAsia" w:hAnsiTheme="minorEastAsia" w:cstheme="minorEastAsia" w:hint="eastAsia"/>
                <w:kern w:val="0"/>
                <w:sz w:val="28"/>
                <w:szCs w:val="28"/>
                <w:lang w:eastAsia="zh-CN"/>
              </w:rPr>
              <w:t>4</w:t>
            </w:r>
            <w:r>
              <w:rPr>
                <w:rFonts w:asciiTheme="minorEastAsia" w:hAnsiTheme="minorEastAsia" w:cstheme="minorEastAsia"/>
                <w:kern w:val="0"/>
                <w:sz w:val="28"/>
                <w:szCs w:val="28"/>
                <w:lang w:eastAsia="zh-CN"/>
              </w:rPr>
              <w:t>5</w:t>
            </w:r>
            <w:r>
              <w:rPr>
                <w:rFonts w:asciiTheme="minorEastAsia" w:hAnsiTheme="minorEastAsia" w:cstheme="minorEastAsia" w:hint="eastAsia"/>
                <w:kern w:val="0"/>
                <w:sz w:val="28"/>
                <w:szCs w:val="28"/>
                <w:lang w:eastAsia="zh-CN"/>
              </w:rPr>
              <w:t>μ</w:t>
            </w:r>
            <w:r>
              <w:rPr>
                <w:rFonts w:asciiTheme="minorEastAsia" w:hAnsiTheme="minorEastAsia" w:cstheme="minorEastAsia"/>
                <w:kern w:val="0"/>
                <w:sz w:val="28"/>
                <w:szCs w:val="28"/>
                <w:lang w:eastAsia="zh-CN"/>
              </w:rPr>
              <w:t>m</w:t>
            </w:r>
            <w:r>
              <w:rPr>
                <w:rFonts w:asciiTheme="minorEastAsia" w:hAnsiTheme="minorEastAsia" w:cstheme="minorEastAsia" w:hint="eastAsia"/>
                <w:kern w:val="0"/>
                <w:sz w:val="28"/>
                <w:szCs w:val="28"/>
                <w:lang w:eastAsia="zh-CN"/>
              </w:rPr>
              <w:t>方孔筛)不低于5</w:t>
            </w:r>
            <w:r>
              <w:rPr>
                <w:rFonts w:asciiTheme="minorEastAsia" w:hAnsiTheme="minorEastAsia" w:cstheme="minorEastAsia"/>
                <w:kern w:val="0"/>
                <w:sz w:val="28"/>
                <w:szCs w:val="28"/>
                <w:lang w:eastAsia="zh-CN"/>
              </w:rPr>
              <w:t>%</w:t>
            </w:r>
            <w:bookmarkStart w:id="2" w:name="_GoBack"/>
            <w:bookmarkEnd w:id="2"/>
          </w:p>
        </w:tc>
      </w:tr>
    </w:tbl>
    <w:p w:rsidR="00D65A52" w:rsidRDefault="00D65A52">
      <w:pPr>
        <w:pStyle w:val="a5"/>
        <w:adjustRightInd w:val="0"/>
        <w:snapToGrid w:val="0"/>
        <w:spacing w:line="560" w:lineRule="atLeast"/>
        <w:ind w:leftChars="0" w:left="0"/>
        <w:rPr>
          <w:rFonts w:asciiTheme="minorEastAsia" w:hAnsiTheme="minorEastAsia" w:cstheme="minorEastAsia"/>
          <w:b/>
          <w:sz w:val="28"/>
          <w:szCs w:val="28"/>
          <w:lang w:eastAsia="zh-CN"/>
        </w:rPr>
      </w:pPr>
    </w:p>
    <w:p w:rsidR="00D65A52" w:rsidRDefault="00526D2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验收、取样、检验</w:t>
      </w:r>
    </w:p>
    <w:p w:rsidR="00D65A52" w:rsidRDefault="00526D26">
      <w:pPr>
        <w:adjustRightInd w:val="0"/>
        <w:snapToGrid w:val="0"/>
        <w:spacing w:line="560" w:lineRule="atLeast"/>
        <w:ind w:firstLine="48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到达后，在需方的地磅房过磅，重量以过磅的结果为准。货物到达现场后，需方将按照本规范书中条款和订货合同中条款内容验收。同时取样分析测定，如发现质量不符和本规范书要求，卖方应无条件地更换货物，直至退货。</w:t>
      </w:r>
    </w:p>
    <w:p w:rsidR="00D65A52" w:rsidRDefault="00526D26">
      <w:pPr>
        <w:numPr>
          <w:ilvl w:val="0"/>
          <w:numId w:val="5"/>
        </w:numPr>
        <w:adjustRightInd w:val="0"/>
        <w:snapToGrid w:val="0"/>
        <w:spacing w:line="560" w:lineRule="atLeast"/>
        <w:jc w:val="both"/>
        <w:rPr>
          <w:rFonts w:asciiTheme="minorEastAsia" w:hAnsiTheme="minorEastAsia" w:cstheme="minorEastAsia"/>
          <w:color w:val="000000" w:themeColor="text1"/>
          <w:kern w:val="0"/>
          <w:sz w:val="28"/>
          <w:szCs w:val="28"/>
          <w:lang w:eastAsia="zh-CN"/>
        </w:rPr>
      </w:pPr>
      <w:r>
        <w:rPr>
          <w:rFonts w:asciiTheme="minorEastAsia" w:hAnsiTheme="minorEastAsia" w:cstheme="minorEastAsia" w:hint="eastAsia"/>
          <w:color w:val="000000" w:themeColor="text1"/>
          <w:kern w:val="0"/>
          <w:sz w:val="28"/>
          <w:szCs w:val="28"/>
          <w:lang w:eastAsia="zh-CN"/>
        </w:rPr>
        <w:t>取样管理</w:t>
      </w:r>
    </w:p>
    <w:p w:rsidR="00D65A52" w:rsidRDefault="00526D26">
      <w:pPr>
        <w:numPr>
          <w:ilvl w:val="0"/>
          <w:numId w:val="6"/>
        </w:numPr>
        <w:adjustRightInd w:val="0"/>
        <w:snapToGrid w:val="0"/>
        <w:spacing w:line="560" w:lineRule="atLeast"/>
        <w:ind w:left="0" w:firstLine="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货物到达后，通知甲方运行经理和</w:t>
      </w:r>
      <w:proofErr w:type="gramStart"/>
      <w:r>
        <w:rPr>
          <w:rFonts w:asciiTheme="minorEastAsia" w:hAnsiTheme="minorEastAsia" w:cstheme="minorEastAsia" w:hint="eastAsia"/>
          <w:color w:val="000000" w:themeColor="text1"/>
          <w:sz w:val="28"/>
          <w:szCs w:val="28"/>
          <w:lang w:eastAsia="zh-CN"/>
        </w:rPr>
        <w:t>仓管</w:t>
      </w:r>
      <w:proofErr w:type="gramEnd"/>
      <w:r>
        <w:rPr>
          <w:rFonts w:asciiTheme="minorEastAsia" w:hAnsiTheme="minorEastAsia" w:cstheme="minorEastAsia" w:hint="eastAsia"/>
          <w:color w:val="000000" w:themeColor="text1"/>
          <w:sz w:val="28"/>
          <w:szCs w:val="28"/>
          <w:lang w:eastAsia="zh-CN"/>
        </w:rPr>
        <w:t>，由运行经理指派专员与仓管、供方人员一起进行外观检查和取样。</w:t>
      </w:r>
    </w:p>
    <w:p w:rsidR="00D65A52" w:rsidRDefault="00526D26">
      <w:pPr>
        <w:numPr>
          <w:ilvl w:val="0"/>
          <w:numId w:val="6"/>
        </w:numPr>
        <w:adjustRightInd w:val="0"/>
        <w:snapToGrid w:val="0"/>
        <w:spacing w:line="560" w:lineRule="atLeast"/>
        <w:ind w:left="0" w:firstLine="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每批次在货车对角线上、中、下</w:t>
      </w:r>
      <w:r>
        <w:rPr>
          <w:rFonts w:asciiTheme="minorEastAsia" w:hAnsiTheme="minorEastAsia" w:cstheme="minorEastAsia" w:hint="eastAsia"/>
          <w:color w:val="000000" w:themeColor="text1"/>
          <w:sz w:val="28"/>
          <w:szCs w:val="28"/>
          <w:lang w:eastAsia="zh-CN"/>
        </w:rPr>
        <w:t>3</w:t>
      </w:r>
      <w:r>
        <w:rPr>
          <w:rFonts w:asciiTheme="minorEastAsia" w:hAnsiTheme="minorEastAsia" w:cstheme="minorEastAsia" w:hint="eastAsia"/>
          <w:color w:val="000000" w:themeColor="text1"/>
          <w:sz w:val="28"/>
          <w:szCs w:val="28"/>
          <w:lang w:eastAsia="zh-CN"/>
        </w:rPr>
        <w:t>个部位取样，每个部位随机抽取</w:t>
      </w:r>
      <w:r>
        <w:rPr>
          <w:rFonts w:asciiTheme="minorEastAsia" w:hAnsiTheme="minorEastAsia" w:cstheme="minorEastAsia" w:hint="eastAsia"/>
          <w:color w:val="000000" w:themeColor="text1"/>
          <w:sz w:val="28"/>
          <w:szCs w:val="28"/>
          <w:lang w:eastAsia="zh-CN"/>
        </w:rPr>
        <w:t>2</w:t>
      </w:r>
      <w:r>
        <w:rPr>
          <w:rFonts w:asciiTheme="minorEastAsia" w:hAnsiTheme="minorEastAsia" w:cstheme="minorEastAsia" w:hint="eastAsia"/>
          <w:color w:val="000000" w:themeColor="text1"/>
          <w:sz w:val="28"/>
          <w:szCs w:val="28"/>
          <w:lang w:eastAsia="zh-CN"/>
        </w:rPr>
        <w:t>袋取样，每袋</w:t>
      </w:r>
      <w:proofErr w:type="gramStart"/>
      <w:r>
        <w:rPr>
          <w:rFonts w:asciiTheme="minorEastAsia" w:hAnsiTheme="minorEastAsia" w:cstheme="minorEastAsia" w:hint="eastAsia"/>
          <w:color w:val="000000" w:themeColor="text1"/>
          <w:sz w:val="28"/>
          <w:szCs w:val="28"/>
          <w:lang w:eastAsia="zh-CN"/>
        </w:rPr>
        <w:t>取样约</w:t>
      </w:r>
      <w:proofErr w:type="gramEnd"/>
      <w:r>
        <w:rPr>
          <w:rFonts w:asciiTheme="minorEastAsia" w:hAnsiTheme="minorEastAsia" w:cstheme="minorEastAsia" w:hint="eastAsia"/>
          <w:color w:val="000000" w:themeColor="text1"/>
          <w:sz w:val="28"/>
          <w:szCs w:val="28"/>
          <w:lang w:eastAsia="zh-CN"/>
        </w:rPr>
        <w:t>250g</w:t>
      </w:r>
      <w:r>
        <w:rPr>
          <w:rFonts w:asciiTheme="minorEastAsia" w:hAnsiTheme="minorEastAsia" w:cstheme="minorEastAsia" w:hint="eastAsia"/>
          <w:color w:val="000000" w:themeColor="text1"/>
          <w:sz w:val="28"/>
          <w:szCs w:val="28"/>
          <w:lang w:eastAsia="zh-CN"/>
        </w:rPr>
        <w:t>，上中下部位的样品做成</w:t>
      </w:r>
      <w:r>
        <w:rPr>
          <w:rFonts w:asciiTheme="minorEastAsia" w:hAnsiTheme="minorEastAsia" w:cstheme="minorEastAsia" w:hint="eastAsia"/>
          <w:color w:val="000000" w:themeColor="text1"/>
          <w:sz w:val="28"/>
          <w:szCs w:val="28"/>
          <w:lang w:eastAsia="zh-CN"/>
        </w:rPr>
        <w:t>2</w:t>
      </w:r>
      <w:r>
        <w:rPr>
          <w:rFonts w:asciiTheme="minorEastAsia" w:hAnsiTheme="minorEastAsia" w:cstheme="minorEastAsia" w:hint="eastAsia"/>
          <w:color w:val="000000" w:themeColor="text1"/>
          <w:sz w:val="28"/>
          <w:szCs w:val="28"/>
          <w:lang w:eastAsia="zh-CN"/>
        </w:rPr>
        <w:t>个混合大样，其中</w:t>
      </w:r>
      <w:r>
        <w:rPr>
          <w:rFonts w:asciiTheme="minorEastAsia" w:hAnsiTheme="minorEastAsia" w:cstheme="minorEastAsia" w:hint="eastAsia"/>
          <w:color w:val="000000" w:themeColor="text1"/>
          <w:sz w:val="28"/>
          <w:szCs w:val="28"/>
          <w:lang w:eastAsia="zh-CN"/>
        </w:rPr>
        <w:t>1</w:t>
      </w:r>
      <w:r>
        <w:rPr>
          <w:rFonts w:asciiTheme="minorEastAsia" w:hAnsiTheme="minorEastAsia" w:cstheme="minorEastAsia" w:hint="eastAsia"/>
          <w:color w:val="000000" w:themeColor="text1"/>
          <w:sz w:val="28"/>
          <w:szCs w:val="28"/>
          <w:lang w:eastAsia="zh-CN"/>
        </w:rPr>
        <w:t>包送外检，样品送检至第三方具有“</w:t>
      </w:r>
      <w:r>
        <w:rPr>
          <w:rFonts w:asciiTheme="minorEastAsia" w:hAnsiTheme="minorEastAsia" w:cstheme="minorEastAsia" w:hint="eastAsia"/>
          <w:color w:val="000000" w:themeColor="text1"/>
          <w:sz w:val="28"/>
          <w:szCs w:val="28"/>
          <w:lang w:eastAsia="zh-CN"/>
        </w:rPr>
        <w:t>CMA</w:t>
      </w:r>
      <w:r>
        <w:rPr>
          <w:rFonts w:asciiTheme="minorEastAsia" w:hAnsiTheme="minorEastAsia" w:cstheme="minorEastAsia" w:hint="eastAsia"/>
          <w:color w:val="000000" w:themeColor="text1"/>
          <w:sz w:val="28"/>
          <w:szCs w:val="28"/>
          <w:lang w:eastAsia="zh-CN"/>
        </w:rPr>
        <w:t>”资质的检测机构进行检验并出具检验报告。另</w:t>
      </w:r>
      <w:r>
        <w:rPr>
          <w:rFonts w:asciiTheme="minorEastAsia" w:hAnsiTheme="minorEastAsia" w:cstheme="minorEastAsia" w:hint="eastAsia"/>
          <w:color w:val="000000" w:themeColor="text1"/>
          <w:sz w:val="28"/>
          <w:szCs w:val="28"/>
          <w:lang w:eastAsia="zh-CN"/>
        </w:rPr>
        <w:t>1</w:t>
      </w:r>
      <w:r>
        <w:rPr>
          <w:rFonts w:asciiTheme="minorEastAsia" w:hAnsiTheme="minorEastAsia" w:cstheme="minorEastAsia" w:hint="eastAsia"/>
          <w:color w:val="000000" w:themeColor="text1"/>
          <w:sz w:val="28"/>
          <w:szCs w:val="28"/>
          <w:lang w:eastAsia="zh-CN"/>
        </w:rPr>
        <w:t>份封存留样。</w:t>
      </w:r>
    </w:p>
    <w:p w:rsidR="00D65A52" w:rsidRDefault="00526D26">
      <w:pPr>
        <w:numPr>
          <w:ilvl w:val="0"/>
          <w:numId w:val="5"/>
        </w:numPr>
        <w:adjustRightInd w:val="0"/>
        <w:snapToGrid w:val="0"/>
        <w:spacing w:line="560" w:lineRule="atLeast"/>
        <w:jc w:val="both"/>
        <w:rPr>
          <w:rFonts w:asciiTheme="minorEastAsia" w:hAnsiTheme="minorEastAsia" w:cstheme="minorEastAsia"/>
          <w:color w:val="000000" w:themeColor="text1"/>
          <w:kern w:val="0"/>
          <w:sz w:val="28"/>
          <w:szCs w:val="28"/>
          <w:lang w:eastAsia="zh-CN"/>
        </w:rPr>
      </w:pPr>
      <w:r>
        <w:rPr>
          <w:rFonts w:asciiTheme="minorEastAsia" w:hAnsiTheme="minorEastAsia" w:cstheme="minorEastAsia" w:hint="eastAsia"/>
          <w:color w:val="000000" w:themeColor="text1"/>
          <w:kern w:val="0"/>
          <w:sz w:val="28"/>
          <w:szCs w:val="28"/>
          <w:lang w:eastAsia="zh-CN"/>
        </w:rPr>
        <w:t>送检管理</w:t>
      </w:r>
    </w:p>
    <w:p w:rsidR="00D65A52" w:rsidRDefault="00526D26">
      <w:pPr>
        <w:numPr>
          <w:ilvl w:val="0"/>
          <w:numId w:val="7"/>
        </w:numPr>
        <w:adjustRightInd w:val="0"/>
        <w:snapToGrid w:val="0"/>
        <w:spacing w:line="560" w:lineRule="atLeast"/>
        <w:ind w:left="42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外包装需用</w:t>
      </w:r>
      <w:proofErr w:type="gramStart"/>
      <w:r>
        <w:rPr>
          <w:rFonts w:asciiTheme="minorEastAsia" w:hAnsiTheme="minorEastAsia" w:cstheme="minorEastAsia" w:hint="eastAsia"/>
          <w:color w:val="000000" w:themeColor="text1"/>
          <w:sz w:val="28"/>
          <w:szCs w:val="28"/>
          <w:lang w:eastAsia="zh-CN"/>
        </w:rPr>
        <w:t>密封夹链带</w:t>
      </w:r>
      <w:proofErr w:type="gramEnd"/>
      <w:r>
        <w:rPr>
          <w:rFonts w:asciiTheme="minorEastAsia" w:hAnsiTheme="minorEastAsia" w:cstheme="minorEastAsia" w:hint="eastAsia"/>
          <w:color w:val="000000" w:themeColor="text1"/>
          <w:sz w:val="28"/>
          <w:szCs w:val="28"/>
          <w:lang w:eastAsia="zh-CN"/>
        </w:rPr>
        <w:t>包装（即带密封功能的</w:t>
      </w:r>
      <w:r>
        <w:rPr>
          <w:rFonts w:asciiTheme="minorEastAsia" w:hAnsiTheme="minorEastAsia" w:cstheme="minorEastAsia" w:hint="eastAsia"/>
          <w:color w:val="000000" w:themeColor="text1"/>
          <w:sz w:val="28"/>
          <w:szCs w:val="28"/>
          <w:lang w:eastAsia="zh-CN"/>
        </w:rPr>
        <w:t>PE</w:t>
      </w:r>
      <w:r>
        <w:rPr>
          <w:rFonts w:asciiTheme="minorEastAsia" w:hAnsiTheme="minorEastAsia" w:cstheme="minorEastAsia" w:hint="eastAsia"/>
          <w:color w:val="000000" w:themeColor="text1"/>
          <w:sz w:val="28"/>
          <w:szCs w:val="28"/>
          <w:lang w:eastAsia="zh-CN"/>
        </w:rPr>
        <w:t>袋）</w:t>
      </w:r>
      <w:r>
        <w:rPr>
          <w:rFonts w:asciiTheme="minorEastAsia" w:hAnsiTheme="minorEastAsia" w:cstheme="minorEastAsia" w:hint="eastAsia"/>
          <w:color w:val="000000" w:themeColor="text1"/>
          <w:sz w:val="28"/>
          <w:szCs w:val="28"/>
          <w:lang w:eastAsia="zh-CN"/>
        </w:rPr>
        <w:t>。</w:t>
      </w:r>
    </w:p>
    <w:p w:rsidR="00D65A52" w:rsidRDefault="00526D26">
      <w:pPr>
        <w:numPr>
          <w:ilvl w:val="0"/>
          <w:numId w:val="7"/>
        </w:numPr>
        <w:adjustRightInd w:val="0"/>
        <w:snapToGrid w:val="0"/>
        <w:spacing w:line="560" w:lineRule="atLeast"/>
        <w:ind w:left="420"/>
        <w:rPr>
          <w:rFonts w:asciiTheme="minorEastAsia" w:hAnsiTheme="minorEastAsia" w:cstheme="minorEastAsia"/>
          <w:color w:val="000000" w:themeColor="text1"/>
          <w:sz w:val="28"/>
          <w:szCs w:val="28"/>
          <w:lang w:eastAsia="zh-CN"/>
        </w:rPr>
      </w:pPr>
      <w:proofErr w:type="gramStart"/>
      <w:r>
        <w:rPr>
          <w:rFonts w:asciiTheme="minorEastAsia" w:hAnsiTheme="minorEastAsia" w:cstheme="minorEastAsia" w:hint="eastAsia"/>
          <w:color w:val="000000" w:themeColor="text1"/>
          <w:sz w:val="28"/>
          <w:szCs w:val="28"/>
          <w:lang w:eastAsia="zh-CN"/>
        </w:rPr>
        <w:t>夹链袋上</w:t>
      </w:r>
      <w:proofErr w:type="gramEnd"/>
      <w:r>
        <w:rPr>
          <w:rFonts w:asciiTheme="minorEastAsia" w:hAnsiTheme="minorEastAsia" w:cstheme="minorEastAsia" w:hint="eastAsia"/>
          <w:color w:val="000000" w:themeColor="text1"/>
          <w:sz w:val="28"/>
          <w:szCs w:val="28"/>
          <w:lang w:eastAsia="zh-CN"/>
        </w:rPr>
        <w:t>写明物料名称、送检编号，不得注明供应商信息。</w:t>
      </w:r>
    </w:p>
    <w:p w:rsidR="00D65A52" w:rsidRDefault="00526D26">
      <w:pPr>
        <w:numPr>
          <w:ilvl w:val="0"/>
          <w:numId w:val="7"/>
        </w:numPr>
        <w:adjustRightInd w:val="0"/>
        <w:snapToGrid w:val="0"/>
        <w:spacing w:line="560" w:lineRule="atLeast"/>
        <w:ind w:left="42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供方需以需方认定的第三方检测机构检测结果为准。</w:t>
      </w:r>
    </w:p>
    <w:p w:rsidR="00D65A52" w:rsidRDefault="00526D26">
      <w:pPr>
        <w:numPr>
          <w:ilvl w:val="0"/>
          <w:numId w:val="7"/>
        </w:numPr>
        <w:adjustRightInd w:val="0"/>
        <w:snapToGrid w:val="0"/>
        <w:spacing w:line="560" w:lineRule="atLeast"/>
        <w:ind w:left="42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需方建立消石灰</w:t>
      </w:r>
      <w:proofErr w:type="gramStart"/>
      <w:r>
        <w:rPr>
          <w:rFonts w:asciiTheme="minorEastAsia" w:hAnsiTheme="minorEastAsia" w:cstheme="minorEastAsia" w:hint="eastAsia"/>
          <w:color w:val="000000" w:themeColor="text1"/>
          <w:sz w:val="28"/>
          <w:szCs w:val="28"/>
          <w:lang w:eastAsia="zh-CN"/>
        </w:rPr>
        <w:t>送检台</w:t>
      </w:r>
      <w:proofErr w:type="gramEnd"/>
      <w:r>
        <w:rPr>
          <w:rFonts w:asciiTheme="minorEastAsia" w:hAnsiTheme="minorEastAsia" w:cstheme="minorEastAsia" w:hint="eastAsia"/>
          <w:color w:val="000000" w:themeColor="text1"/>
          <w:sz w:val="28"/>
          <w:szCs w:val="28"/>
          <w:lang w:eastAsia="zh-CN"/>
        </w:rPr>
        <w:t>帐，并不定期抽检。</w:t>
      </w:r>
    </w:p>
    <w:p w:rsidR="00D65A52" w:rsidRDefault="00526D26">
      <w:pPr>
        <w:numPr>
          <w:ilvl w:val="0"/>
          <w:numId w:val="5"/>
        </w:numPr>
        <w:adjustRightInd w:val="0"/>
        <w:snapToGrid w:val="0"/>
        <w:spacing w:line="560" w:lineRule="atLeast"/>
        <w:jc w:val="both"/>
        <w:rPr>
          <w:rFonts w:asciiTheme="minorEastAsia" w:hAnsiTheme="minorEastAsia" w:cstheme="minorEastAsia"/>
          <w:color w:val="000000"/>
          <w:kern w:val="0"/>
          <w:sz w:val="28"/>
          <w:szCs w:val="28"/>
          <w:lang w:eastAsia="zh-CN"/>
        </w:rPr>
      </w:pPr>
      <w:r>
        <w:rPr>
          <w:rFonts w:asciiTheme="minorEastAsia" w:hAnsiTheme="minorEastAsia" w:cstheme="minorEastAsia" w:hint="eastAsia"/>
          <w:color w:val="000000"/>
          <w:kern w:val="0"/>
          <w:sz w:val="28"/>
          <w:szCs w:val="28"/>
          <w:lang w:eastAsia="zh-CN"/>
        </w:rPr>
        <w:t>验收管理</w:t>
      </w:r>
    </w:p>
    <w:p w:rsidR="00D65A52" w:rsidRDefault="00526D26">
      <w:pPr>
        <w:numPr>
          <w:ilvl w:val="0"/>
          <w:numId w:val="8"/>
        </w:numPr>
        <w:adjustRightInd w:val="0"/>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货物出厂检测结果应全部满足本技术规范中的质量要求；</w:t>
      </w:r>
    </w:p>
    <w:p w:rsidR="00D65A52" w:rsidRDefault="00526D26">
      <w:pPr>
        <w:numPr>
          <w:ilvl w:val="0"/>
          <w:numId w:val="8"/>
        </w:numPr>
        <w:adjustRightInd w:val="0"/>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外观检查符合本技术规范中的标志和包装要求；</w:t>
      </w:r>
    </w:p>
    <w:p w:rsidR="00D65A52" w:rsidRDefault="00526D26">
      <w:pPr>
        <w:numPr>
          <w:ilvl w:val="0"/>
          <w:numId w:val="8"/>
        </w:numPr>
        <w:adjustRightInd w:val="0"/>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不定期送外检检测结果应全部满足表</w:t>
      </w:r>
      <w:proofErr w:type="gramStart"/>
      <w:r>
        <w:rPr>
          <w:rFonts w:asciiTheme="minorEastAsia" w:hAnsiTheme="minorEastAsia" w:cstheme="minorEastAsia" w:hint="eastAsia"/>
          <w:color w:val="000000" w:themeColor="text1"/>
          <w:sz w:val="28"/>
          <w:szCs w:val="28"/>
          <w:lang w:eastAsia="zh-CN"/>
        </w:rPr>
        <w:t>一</w:t>
      </w:r>
      <w:proofErr w:type="gramEnd"/>
      <w:r>
        <w:rPr>
          <w:rFonts w:asciiTheme="minorEastAsia" w:hAnsiTheme="minorEastAsia" w:cstheme="minorEastAsia" w:hint="eastAsia"/>
          <w:color w:val="000000" w:themeColor="text1"/>
          <w:sz w:val="28"/>
          <w:szCs w:val="28"/>
          <w:lang w:eastAsia="zh-CN"/>
        </w:rPr>
        <w:t>要求；</w:t>
      </w:r>
    </w:p>
    <w:p w:rsidR="00D65A52" w:rsidRDefault="00526D26">
      <w:pPr>
        <w:numPr>
          <w:ilvl w:val="0"/>
          <w:numId w:val="8"/>
        </w:numPr>
        <w:adjustRightInd w:val="0"/>
        <w:snapToGrid w:val="0"/>
        <w:spacing w:line="560" w:lineRule="atLeast"/>
        <w:rPr>
          <w:rFonts w:asciiTheme="minorEastAsia" w:hAnsiTheme="minorEastAsia" w:cstheme="minorEastAsia"/>
          <w:b/>
          <w:bCs/>
          <w:sz w:val="28"/>
          <w:szCs w:val="28"/>
        </w:rPr>
      </w:pPr>
      <w:r>
        <w:rPr>
          <w:rFonts w:asciiTheme="minorEastAsia" w:hAnsiTheme="minorEastAsia" w:cstheme="minorEastAsia" w:hint="eastAsia"/>
          <w:color w:val="000000" w:themeColor="text1"/>
          <w:sz w:val="28"/>
          <w:szCs w:val="28"/>
          <w:lang w:eastAsia="zh-CN"/>
        </w:rPr>
        <w:t>技术资料齐全。</w:t>
      </w:r>
    </w:p>
    <w:p w:rsidR="00D65A52" w:rsidRDefault="00526D26">
      <w:pPr>
        <w:numPr>
          <w:ilvl w:val="0"/>
          <w:numId w:val="1"/>
        </w:numPr>
        <w:adjustRightInd w:val="0"/>
        <w:snapToGrid w:val="0"/>
        <w:spacing w:line="560" w:lineRule="atLeast"/>
        <w:rPr>
          <w:rFonts w:asciiTheme="minorEastAsia" w:hAnsiTheme="minorEastAsia" w:cstheme="minorEastAsia"/>
          <w:b/>
          <w:bCs/>
          <w:sz w:val="28"/>
          <w:szCs w:val="28"/>
        </w:rPr>
      </w:pPr>
      <w:r>
        <w:rPr>
          <w:rFonts w:asciiTheme="minorEastAsia" w:hAnsiTheme="minorEastAsia" w:cstheme="minorEastAsia" w:hint="eastAsia"/>
          <w:b/>
          <w:bCs/>
          <w:sz w:val="28"/>
          <w:szCs w:val="28"/>
        </w:rPr>
        <w:lastRenderedPageBreak/>
        <w:t>标志、包装、运输、贮存</w:t>
      </w:r>
    </w:p>
    <w:p w:rsidR="00D65A52" w:rsidRDefault="00526D26">
      <w:pPr>
        <w:pStyle w:val="Default"/>
        <w:numPr>
          <w:ilvl w:val="0"/>
          <w:numId w:val="9"/>
        </w:numPr>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标志</w:t>
      </w:r>
    </w:p>
    <w:p w:rsidR="00D65A52" w:rsidRDefault="00526D2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包装上应有明显牢固的标志，其内容包括：生产厂名称、厂址、产品名称、商标、生产日期、日期、批号、净重和合格证书。</w:t>
      </w:r>
    </w:p>
    <w:p w:rsidR="00D65A52" w:rsidRDefault="00526D26">
      <w:pPr>
        <w:pStyle w:val="Default"/>
        <w:numPr>
          <w:ilvl w:val="0"/>
          <w:numId w:val="9"/>
        </w:numPr>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w:t>
      </w:r>
      <w:r>
        <w:rPr>
          <w:rFonts w:asciiTheme="minorEastAsia" w:eastAsiaTheme="minorEastAsia" w:hAnsiTheme="minorEastAsia" w:cstheme="minorEastAsia" w:hint="eastAsia"/>
          <w:sz w:val="28"/>
          <w:szCs w:val="28"/>
          <w:lang w:eastAsia="zh-CN"/>
        </w:rPr>
        <w:t>包装</w:t>
      </w:r>
    </w:p>
    <w:p w:rsidR="00D65A52" w:rsidRDefault="00526D2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产品包装规格为：罐车散装，一车净重约</w:t>
      </w:r>
      <w:r>
        <w:rPr>
          <w:rFonts w:asciiTheme="minorEastAsia" w:eastAsiaTheme="minorEastAsia" w:hAnsiTheme="minorEastAsia" w:cstheme="minorEastAsia" w:hint="eastAsia"/>
          <w:sz w:val="28"/>
          <w:szCs w:val="28"/>
          <w:lang w:eastAsia="zh-CN"/>
        </w:rPr>
        <w:t>50</w:t>
      </w:r>
      <w:r>
        <w:rPr>
          <w:rFonts w:asciiTheme="minorEastAsia" w:eastAsiaTheme="minorEastAsia" w:hAnsiTheme="minorEastAsia" w:cstheme="minorEastAsia" w:hint="eastAsia"/>
          <w:sz w:val="28"/>
          <w:szCs w:val="28"/>
          <w:lang w:eastAsia="zh-CN"/>
        </w:rPr>
        <w:t>吨</w:t>
      </w:r>
      <w:r>
        <w:rPr>
          <w:rFonts w:asciiTheme="minorEastAsia" w:eastAsiaTheme="minorEastAsia" w:hAnsiTheme="minorEastAsia" w:cstheme="minorEastAsia" w:hint="eastAsia"/>
          <w:sz w:val="28"/>
          <w:szCs w:val="28"/>
          <w:lang w:eastAsia="zh-CN"/>
        </w:rPr>
        <w:t>。</w:t>
      </w:r>
    </w:p>
    <w:p w:rsidR="00D65A52" w:rsidRDefault="00526D26">
      <w:pPr>
        <w:pStyle w:val="Default"/>
        <w:numPr>
          <w:ilvl w:val="0"/>
          <w:numId w:val="9"/>
        </w:numPr>
        <w:snapToGrid w:val="0"/>
        <w:spacing w:line="560" w:lineRule="atLeast"/>
        <w:ind w:firstLine="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w:t>
      </w:r>
      <w:r>
        <w:rPr>
          <w:rFonts w:asciiTheme="minorEastAsia" w:eastAsiaTheme="minorEastAsia" w:hAnsiTheme="minorEastAsia" w:cstheme="minorEastAsia" w:hint="eastAsia"/>
          <w:sz w:val="28"/>
          <w:szCs w:val="28"/>
          <w:lang w:eastAsia="zh-CN"/>
        </w:rPr>
        <w:t>运输</w:t>
      </w:r>
    </w:p>
    <w:p w:rsidR="00D65A52" w:rsidRDefault="00526D2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运输车辆应符合道路交通运输安全法规定，散漏物料用大量清水冲洗。</w:t>
      </w:r>
    </w:p>
    <w:p w:rsidR="00D65A52" w:rsidRDefault="00526D26">
      <w:pPr>
        <w:pStyle w:val="Default"/>
        <w:numPr>
          <w:ilvl w:val="0"/>
          <w:numId w:val="9"/>
        </w:numPr>
        <w:snapToGrid w:val="0"/>
        <w:spacing w:line="560" w:lineRule="atLeast"/>
        <w:ind w:firstLine="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 xml:space="preserve"> </w:t>
      </w:r>
      <w:r>
        <w:rPr>
          <w:rFonts w:asciiTheme="minorEastAsia" w:eastAsiaTheme="minorEastAsia" w:hAnsiTheme="minorEastAsia" w:cstheme="minorEastAsia" w:hint="eastAsia"/>
          <w:sz w:val="28"/>
          <w:szCs w:val="28"/>
          <w:lang w:eastAsia="zh-CN"/>
        </w:rPr>
        <w:t>贮存</w:t>
      </w:r>
    </w:p>
    <w:p w:rsidR="00D65A52" w:rsidRDefault="00526D2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室内贮存条件，</w:t>
      </w:r>
      <w:r>
        <w:rPr>
          <w:rFonts w:asciiTheme="minorEastAsia" w:eastAsiaTheme="minorEastAsia" w:hAnsiTheme="minorEastAsia" w:cstheme="minorEastAsia" w:hint="eastAsia"/>
          <w:sz w:val="28"/>
          <w:szCs w:val="28"/>
        </w:rPr>
        <w:t>通风、干燥、避免阳光直射</w:t>
      </w:r>
      <w:r>
        <w:rPr>
          <w:rFonts w:asciiTheme="minorEastAsia" w:eastAsiaTheme="minorEastAsia" w:hAnsiTheme="minorEastAsia" w:cstheme="minorEastAsia" w:hint="eastAsia"/>
          <w:sz w:val="28"/>
          <w:szCs w:val="28"/>
          <w:lang w:eastAsia="zh-CN"/>
        </w:rPr>
        <w:t>、满足消防防火要求。</w:t>
      </w:r>
    </w:p>
    <w:p w:rsidR="00D65A52" w:rsidRDefault="00526D2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保质期</w:t>
      </w:r>
    </w:p>
    <w:p w:rsidR="00D65A52" w:rsidRDefault="00526D2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在规定的贮运条件下，自出厂之日起，保质期为一年。</w:t>
      </w:r>
    </w:p>
    <w:p w:rsidR="00D65A52" w:rsidRDefault="00D65A52">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p>
    <w:p w:rsidR="00D65A52" w:rsidRDefault="00D65A52">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p>
    <w:p w:rsidR="00D65A52" w:rsidRDefault="00D65A52">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p>
    <w:p w:rsidR="00D65A52" w:rsidRDefault="00D65A52">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p>
    <w:p w:rsidR="00D65A52" w:rsidRDefault="00D65A52"/>
    <w:p w:rsidR="00D65A52" w:rsidRDefault="00D65A52"/>
    <w:sectPr w:rsidR="00D65A52">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6D26" w:rsidRDefault="00526D26">
      <w:r>
        <w:separator/>
      </w:r>
    </w:p>
  </w:endnote>
  <w:endnote w:type="continuationSeparator" w:id="0">
    <w:p w:rsidR="00526D26" w:rsidRDefault="00526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A52" w:rsidRDefault="00526D26">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65A52" w:rsidRDefault="00526D26">
                          <w:pPr>
                            <w:pStyle w:val="a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D65A52" w:rsidRDefault="00526D26">
                    <w:pPr>
                      <w:pStyle w:val="a3"/>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6D26" w:rsidRDefault="00526D26">
      <w:r>
        <w:separator/>
      </w:r>
    </w:p>
  </w:footnote>
  <w:footnote w:type="continuationSeparator" w:id="0">
    <w:p w:rsidR="00526D26" w:rsidRDefault="00526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08DC52E"/>
    <w:multiLevelType w:val="singleLevel"/>
    <w:tmpl w:val="908DC52E"/>
    <w:lvl w:ilvl="0">
      <w:start w:val="1"/>
      <w:numFmt w:val="decimal"/>
      <w:lvlText w:val="%1."/>
      <w:lvlJc w:val="left"/>
      <w:pPr>
        <w:tabs>
          <w:tab w:val="left" w:pos="420"/>
        </w:tabs>
        <w:ind w:left="845" w:hanging="425"/>
      </w:pPr>
      <w:rPr>
        <w:rFonts w:hint="default"/>
      </w:rPr>
    </w:lvl>
  </w:abstractNum>
  <w:abstractNum w:abstractNumId="1" w15:restartNumberingAfterBreak="0">
    <w:nsid w:val="96833E44"/>
    <w:multiLevelType w:val="singleLevel"/>
    <w:tmpl w:val="96833E44"/>
    <w:lvl w:ilvl="0">
      <w:start w:val="1"/>
      <w:numFmt w:val="decimal"/>
      <w:lvlText w:val="%1."/>
      <w:lvlJc w:val="left"/>
      <w:pPr>
        <w:ind w:left="0" w:firstLine="113"/>
      </w:pPr>
      <w:rPr>
        <w:rFonts w:hint="default"/>
      </w:rPr>
    </w:lvl>
  </w:abstractNum>
  <w:abstractNum w:abstractNumId="2" w15:restartNumberingAfterBreak="0">
    <w:nsid w:val="A05A8B17"/>
    <w:multiLevelType w:val="singleLevel"/>
    <w:tmpl w:val="A05A8B17"/>
    <w:lvl w:ilvl="0">
      <w:start w:val="1"/>
      <w:numFmt w:val="decimal"/>
      <w:lvlText w:val="(%1)"/>
      <w:lvlJc w:val="left"/>
      <w:pPr>
        <w:tabs>
          <w:tab w:val="left" w:pos="420"/>
        </w:tabs>
        <w:ind w:left="845" w:hanging="425"/>
      </w:pPr>
      <w:rPr>
        <w:rFonts w:hint="default"/>
      </w:rPr>
    </w:lvl>
  </w:abstractNum>
  <w:abstractNum w:abstractNumId="3" w15:restartNumberingAfterBreak="0">
    <w:nsid w:val="DE009308"/>
    <w:multiLevelType w:val="singleLevel"/>
    <w:tmpl w:val="DE009308"/>
    <w:lvl w:ilvl="0">
      <w:start w:val="1"/>
      <w:numFmt w:val="decimal"/>
      <w:lvlText w:val="%1."/>
      <w:lvlJc w:val="left"/>
      <w:pPr>
        <w:tabs>
          <w:tab w:val="left" w:pos="420"/>
        </w:tabs>
        <w:ind w:left="485" w:hanging="331"/>
      </w:pPr>
      <w:rPr>
        <w:rFonts w:hint="default"/>
      </w:rPr>
    </w:lvl>
  </w:abstractNum>
  <w:abstractNum w:abstractNumId="4" w15:restartNumberingAfterBreak="0">
    <w:nsid w:val="ED639645"/>
    <w:multiLevelType w:val="singleLevel"/>
    <w:tmpl w:val="ED639645"/>
    <w:lvl w:ilvl="0">
      <w:start w:val="1"/>
      <w:numFmt w:val="decimal"/>
      <w:suff w:val="nothing"/>
      <w:lvlText w:val="%1."/>
      <w:lvlJc w:val="left"/>
      <w:pPr>
        <w:ind w:left="113" w:firstLine="12"/>
      </w:pPr>
      <w:rPr>
        <w:rFonts w:hint="default"/>
      </w:rPr>
    </w:lvl>
  </w:abstractNum>
  <w:abstractNum w:abstractNumId="5" w15:restartNumberingAfterBreak="0">
    <w:nsid w:val="0D4F1D75"/>
    <w:multiLevelType w:val="singleLevel"/>
    <w:tmpl w:val="0D4F1D75"/>
    <w:lvl w:ilvl="0">
      <w:start w:val="1"/>
      <w:numFmt w:val="decimal"/>
      <w:lvlText w:val="(%1)"/>
      <w:lvlJc w:val="left"/>
      <w:pPr>
        <w:tabs>
          <w:tab w:val="left" w:pos="420"/>
        </w:tabs>
        <w:ind w:left="845" w:hanging="425"/>
      </w:pPr>
      <w:rPr>
        <w:rFonts w:hint="default"/>
      </w:rPr>
    </w:lvl>
  </w:abstractNum>
  <w:abstractNum w:abstractNumId="6" w15:restartNumberingAfterBreak="0">
    <w:nsid w:val="220E2B00"/>
    <w:multiLevelType w:val="singleLevel"/>
    <w:tmpl w:val="220E2B00"/>
    <w:lvl w:ilvl="0">
      <w:start w:val="1"/>
      <w:numFmt w:val="decimal"/>
      <w:suff w:val="nothing"/>
      <w:lvlText w:val="%1."/>
      <w:lvlJc w:val="left"/>
      <w:pPr>
        <w:ind w:left="0" w:firstLine="126"/>
      </w:pPr>
      <w:rPr>
        <w:rFonts w:hint="default"/>
      </w:rPr>
    </w:lvl>
  </w:abstractNum>
  <w:abstractNum w:abstractNumId="7" w15:restartNumberingAfterBreak="0">
    <w:nsid w:val="4BA13EE1"/>
    <w:multiLevelType w:val="singleLevel"/>
    <w:tmpl w:val="4BA13EE1"/>
    <w:lvl w:ilvl="0">
      <w:start w:val="1"/>
      <w:numFmt w:val="chineseCounting"/>
      <w:suff w:val="nothing"/>
      <w:lvlText w:val="%1、"/>
      <w:lvlJc w:val="left"/>
      <w:pPr>
        <w:ind w:left="0" w:firstLine="0"/>
      </w:pPr>
      <w:rPr>
        <w:rFonts w:hint="eastAsia"/>
      </w:rPr>
    </w:lvl>
  </w:abstractNum>
  <w:abstractNum w:abstractNumId="8" w15:restartNumberingAfterBreak="0">
    <w:nsid w:val="4D29F368"/>
    <w:multiLevelType w:val="singleLevel"/>
    <w:tmpl w:val="4D29F368"/>
    <w:lvl w:ilvl="0">
      <w:start w:val="1"/>
      <w:numFmt w:val="decimal"/>
      <w:lvlText w:val="(%1)"/>
      <w:lvlJc w:val="left"/>
      <w:pPr>
        <w:ind w:left="454" w:hanging="454"/>
      </w:pPr>
      <w:rPr>
        <w:rFonts w:hint="default"/>
        <w:b w:val="0"/>
        <w:bCs w:val="0"/>
      </w:rPr>
    </w:lvl>
  </w:abstractNum>
  <w:num w:numId="1">
    <w:abstractNumId w:val="7"/>
  </w:num>
  <w:num w:numId="2">
    <w:abstractNumId w:val="0"/>
  </w:num>
  <w:num w:numId="3">
    <w:abstractNumId w:val="6"/>
  </w:num>
  <w:num w:numId="4">
    <w:abstractNumId w:val="3"/>
  </w:num>
  <w:num w:numId="5">
    <w:abstractNumId w:val="4"/>
  </w:num>
  <w:num w:numId="6">
    <w:abstractNumId w:val="5"/>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9E10926"/>
    <w:rsid w:val="00526D26"/>
    <w:rsid w:val="005D4C3C"/>
    <w:rsid w:val="00827446"/>
    <w:rsid w:val="00CF2B44"/>
    <w:rsid w:val="00D65A52"/>
    <w:rsid w:val="49AD231D"/>
    <w:rsid w:val="79E1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0B8A55"/>
  <w15:docId w15:val="{555FBDA8-B687-466E-A6D7-DF14E5747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autoRedefine/>
    <w:qFormat/>
    <w:pPr>
      <w:widowControl w:val="0"/>
      <w:autoSpaceDE w:val="0"/>
      <w:autoSpaceDN w:val="0"/>
      <w:adjustRightInd w:val="0"/>
    </w:pPr>
    <w:rPr>
      <w:rFonts w:ascii="Microsoft JhengHei" w:eastAsia="Microsoft JhengHei" w:cs="Microsoft JhengHei"/>
      <w:color w:val="000000"/>
      <w:sz w:val="24"/>
      <w:szCs w:val="24"/>
      <w:lang w:eastAsia="zh-TW"/>
    </w:rPr>
  </w:style>
  <w:style w:type="paragraph" w:styleId="a5">
    <w:name w:val="List Paragraph"/>
    <w:basedOn w:val="a"/>
    <w:autoRedefine/>
    <w:uiPriority w:val="34"/>
    <w:qFormat/>
    <w:pPr>
      <w:ind w:leftChars="200" w:left="480"/>
    </w:pPr>
  </w:style>
  <w:style w:type="paragraph" w:styleId="a6">
    <w:name w:val="header"/>
    <w:basedOn w:val="a"/>
    <w:link w:val="a7"/>
    <w:rsid w:val="00CF2B4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F2B44"/>
    <w:rPr>
      <w:kern w:val="2"/>
      <w:sz w:val="18"/>
      <w:szCs w:val="1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262</Words>
  <Characters>1498</Characters>
  <Application>Microsoft Office Word</Application>
  <DocSecurity>0</DocSecurity>
  <Lines>12</Lines>
  <Paragraphs>3</Paragraphs>
  <ScaleCrop>false</ScaleCrop>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★唯爱★</dc:creator>
  <cp:lastModifiedBy>Admin</cp:lastModifiedBy>
  <cp:revision>3</cp:revision>
  <dcterms:created xsi:type="dcterms:W3CDTF">2025-01-09T07:37:00Z</dcterms:created>
  <dcterms:modified xsi:type="dcterms:W3CDTF">2025-03-19T03:55:00Z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D34D5B53709C4D8EB2FF6863C5CF1A5E_11</vt:lpwstr>
  </property>
  <property fmtid="{D5CDD505-2E9C-101B-9397-08002B2CF9AE}" pid="4" name="KSOTemplateDocerSaveRecord">
    <vt:lpwstr>eyJoZGlkIjoiNjk3ZDRlNzQ0MjIwNzUzMWM2N2YwNzVjNmJmZjYzMTEiLCJ1c2VySWQiOiI3NDU5NzM2MjIifQ==</vt:lpwstr>
  </property>
</Properties>
</file>